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sz w:val="44"/>
          <w:szCs w:val="44"/>
        </w:rPr>
      </w:pPr>
      <w:r>
        <w:rPr>
          <w:rFonts w:hint="eastAsia" w:ascii="方正小标宋简体" w:eastAsia="方正小标宋简体"/>
          <w:sz w:val="44"/>
          <w:szCs w:val="44"/>
        </w:rPr>
        <w:t>天心区部门整体支出绩效自评报告</w:t>
      </w:r>
    </w:p>
    <w:p>
      <w:pPr>
        <w:jc w:val="center"/>
        <w:rPr>
          <w:sz w:val="44"/>
          <w:szCs w:val="44"/>
        </w:rPr>
      </w:pPr>
    </w:p>
    <w:p>
      <w:pPr>
        <w:jc w:val="center"/>
      </w:pPr>
    </w:p>
    <w:p>
      <w:pPr>
        <w:jc w:val="center"/>
      </w:pPr>
    </w:p>
    <w:p>
      <w:pPr>
        <w:jc w:val="center"/>
      </w:pPr>
    </w:p>
    <w:p>
      <w:pPr>
        <w:jc w:val="center"/>
      </w:pPr>
    </w:p>
    <w:p>
      <w:pPr>
        <w:jc w:val="center"/>
      </w:pPr>
    </w:p>
    <w:p>
      <w:pPr>
        <w:spacing w:line="600" w:lineRule="exact"/>
        <w:jc w:val="center"/>
      </w:pPr>
    </w:p>
    <w:p>
      <w:pPr>
        <w:jc w:val="left"/>
      </w:pPr>
    </w:p>
    <w:p>
      <w:pPr>
        <w:jc w:val="left"/>
        <w:rPr>
          <w:rFonts w:ascii="黑体" w:eastAsia="黑体"/>
          <w:sz w:val="32"/>
          <w:szCs w:val="32"/>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pStyle w:val="5"/>
        <w:widowControl/>
        <w:numPr>
          <w:ilvl w:val="0"/>
          <w:numId w:val="1"/>
        </w:numPr>
        <w:spacing w:line="600" w:lineRule="exact"/>
        <w:ind w:firstLineChars="0"/>
        <w:rPr>
          <w:rFonts w:eastAsia="黑体"/>
          <w:sz w:val="32"/>
          <w:szCs w:val="32"/>
        </w:rPr>
      </w:pPr>
      <w:r>
        <w:rPr>
          <w:rFonts w:eastAsia="黑体"/>
          <w:sz w:val="32"/>
          <w:szCs w:val="32"/>
        </w:rPr>
        <w:t>部门、单位基本情况</w:t>
      </w:r>
    </w:p>
    <w:p>
      <w:pPr>
        <w:spacing w:line="560" w:lineRule="exact"/>
        <w:ind w:firstLine="640" w:firstLineChars="200"/>
        <w:rPr>
          <w:rFonts w:ascii="楷体" w:hAnsi="楷体" w:eastAsia="楷体"/>
          <w:sz w:val="32"/>
          <w:szCs w:val="32"/>
        </w:rPr>
      </w:pPr>
      <w:r>
        <w:rPr>
          <w:rFonts w:hint="eastAsia" w:ascii="仿宋_GB2312" w:hAnsi="宋体"/>
          <w:sz w:val="32"/>
          <w:szCs w:val="32"/>
        </w:rPr>
        <w:t>天心区文化馆是区域群文活动的主要阵地，</w:t>
      </w:r>
      <w:r>
        <w:rPr>
          <w:rFonts w:hint="eastAsia" w:ascii="仿宋_GB2312" w:hAnsi="华文仿宋"/>
          <w:sz w:val="32"/>
          <w:szCs w:val="32"/>
        </w:rPr>
        <w:t>承担着群众文化辅导培训、文艺团队管理、主题活动组织策划、精品文艺节目创编等重要职能。</w:t>
      </w:r>
    </w:p>
    <w:p>
      <w:pPr>
        <w:spacing w:line="520" w:lineRule="exact"/>
        <w:ind w:firstLine="640" w:firstLineChars="200"/>
        <w:rPr>
          <w:rFonts w:hAnsi="宋体" w:cs="宋体"/>
          <w:color w:val="000000"/>
          <w:kern w:val="0"/>
          <w:sz w:val="32"/>
          <w:szCs w:val="32"/>
        </w:rPr>
      </w:pPr>
      <w:r>
        <w:rPr>
          <w:rFonts w:ascii="仿宋_GB2312"/>
          <w:sz w:val="32"/>
          <w:szCs w:val="32"/>
        </w:rPr>
        <w:t>本部门编制数</w:t>
      </w:r>
      <w:r>
        <w:rPr>
          <w:rFonts w:hint="eastAsia" w:ascii="仿宋_GB2312"/>
          <w:sz w:val="32"/>
          <w:szCs w:val="32"/>
        </w:rPr>
        <w:t>6</w:t>
      </w:r>
      <w:r>
        <w:rPr>
          <w:rFonts w:ascii="仿宋_GB2312"/>
          <w:sz w:val="32"/>
          <w:szCs w:val="32"/>
        </w:rPr>
        <w:t>人,在职人数</w:t>
      </w:r>
      <w:r>
        <w:rPr>
          <w:rFonts w:hint="eastAsia" w:ascii="仿宋_GB2312"/>
          <w:sz w:val="32"/>
          <w:szCs w:val="32"/>
        </w:rPr>
        <w:t>6</w:t>
      </w:r>
      <w:r>
        <w:rPr>
          <w:rFonts w:ascii="仿宋_GB2312"/>
          <w:sz w:val="32"/>
          <w:szCs w:val="32"/>
        </w:rPr>
        <w:t>人,其中:在岗人数</w:t>
      </w:r>
      <w:r>
        <w:rPr>
          <w:rFonts w:hint="eastAsia" w:ascii="仿宋_GB2312"/>
          <w:sz w:val="32"/>
          <w:szCs w:val="32"/>
        </w:rPr>
        <w:t>6</w:t>
      </w:r>
      <w:r>
        <w:rPr>
          <w:rFonts w:ascii="仿宋_GB2312"/>
          <w:sz w:val="32"/>
          <w:szCs w:val="32"/>
        </w:rPr>
        <w:t>人</w:t>
      </w:r>
      <w:r>
        <w:rPr>
          <w:rFonts w:hint="eastAsia" w:ascii="仿宋_GB2312"/>
          <w:sz w:val="32"/>
          <w:szCs w:val="32"/>
        </w:rPr>
        <w:t>；政府雇员0</w:t>
      </w:r>
      <w:r>
        <w:rPr>
          <w:rFonts w:ascii="仿宋_GB2312"/>
          <w:sz w:val="32"/>
          <w:szCs w:val="32"/>
        </w:rPr>
        <w:t>人</w:t>
      </w:r>
      <w:r>
        <w:rPr>
          <w:rFonts w:hint="eastAsia" w:ascii="仿宋_GB2312"/>
          <w:sz w:val="32"/>
          <w:szCs w:val="32"/>
        </w:rPr>
        <w:t>；</w:t>
      </w:r>
      <w:r>
        <w:rPr>
          <w:rFonts w:ascii="仿宋" w:hAnsi="仿宋" w:eastAsia="仿宋" w:cs="仿宋"/>
          <w:color w:val="000000"/>
          <w:sz w:val="32"/>
          <w:szCs w:val="32"/>
          <w:shd w:val="clear" w:color="auto" w:fill="FFFFFF"/>
        </w:rPr>
        <w:t>专业技术人员</w:t>
      </w:r>
      <w:r>
        <w:rPr>
          <w:rFonts w:hint="eastAsia" w:ascii="仿宋_GB2312"/>
          <w:sz w:val="32"/>
          <w:szCs w:val="32"/>
        </w:rPr>
        <w:t>0</w:t>
      </w:r>
      <w:r>
        <w:rPr>
          <w:rFonts w:hint="eastAsia" w:ascii="仿宋" w:hAnsi="仿宋" w:eastAsia="仿宋" w:cs="仿宋"/>
          <w:color w:val="000000"/>
          <w:sz w:val="32"/>
          <w:szCs w:val="32"/>
          <w:shd w:val="clear" w:color="auto" w:fill="FFFFFF"/>
        </w:rPr>
        <w:t>人；</w:t>
      </w:r>
      <w:r>
        <w:rPr>
          <w:rFonts w:ascii="仿宋_GB2312"/>
          <w:sz w:val="32"/>
          <w:szCs w:val="32"/>
        </w:rPr>
        <w:t>编外长期聘用人员</w:t>
      </w:r>
      <w:r>
        <w:rPr>
          <w:rFonts w:hint="eastAsia" w:ascii="仿宋_GB2312"/>
          <w:sz w:val="32"/>
          <w:szCs w:val="32"/>
        </w:rPr>
        <w:t>2</w:t>
      </w:r>
      <w:r>
        <w:rPr>
          <w:rFonts w:ascii="仿宋_GB2312"/>
          <w:sz w:val="32"/>
          <w:szCs w:val="32"/>
        </w:rPr>
        <w:t>人</w:t>
      </w:r>
      <w:r>
        <w:rPr>
          <w:rFonts w:hint="eastAsia" w:ascii="仿宋_GB2312"/>
          <w:sz w:val="32"/>
          <w:szCs w:val="32"/>
        </w:rPr>
        <w:t>；</w:t>
      </w:r>
      <w:r>
        <w:rPr>
          <w:rFonts w:ascii="仿宋_GB2312"/>
          <w:sz w:val="32"/>
          <w:szCs w:val="32"/>
        </w:rPr>
        <w:t>离退休人数</w:t>
      </w:r>
      <w:r>
        <w:rPr>
          <w:rFonts w:hint="eastAsia" w:ascii="仿宋_GB2312"/>
          <w:sz w:val="32"/>
          <w:szCs w:val="32"/>
        </w:rPr>
        <w:t>3</w:t>
      </w:r>
      <w:r>
        <w:rPr>
          <w:rFonts w:ascii="仿宋_GB2312"/>
          <w:sz w:val="32"/>
          <w:szCs w:val="32"/>
        </w:rPr>
        <w:t>人,其中离休人员</w:t>
      </w:r>
      <w:r>
        <w:rPr>
          <w:rFonts w:hint="eastAsia" w:ascii="仿宋_GB2312"/>
          <w:sz w:val="32"/>
          <w:szCs w:val="32"/>
        </w:rPr>
        <w:t>0</w:t>
      </w:r>
      <w:r>
        <w:rPr>
          <w:rFonts w:ascii="仿宋_GB2312"/>
          <w:sz w:val="32"/>
          <w:szCs w:val="32"/>
        </w:rPr>
        <w:t>人,退休人员</w:t>
      </w:r>
      <w:r>
        <w:rPr>
          <w:rFonts w:hint="eastAsia" w:ascii="仿宋_GB2312"/>
          <w:sz w:val="32"/>
          <w:szCs w:val="32"/>
        </w:rPr>
        <w:t>3</w:t>
      </w:r>
      <w:r>
        <w:rPr>
          <w:rFonts w:ascii="仿宋_GB2312"/>
          <w:sz w:val="32"/>
          <w:szCs w:val="32"/>
        </w:rPr>
        <w:t>人。</w:t>
      </w:r>
    </w:p>
    <w:p>
      <w:pPr>
        <w:pStyle w:val="5"/>
        <w:widowControl/>
        <w:numPr>
          <w:ilvl w:val="0"/>
          <w:numId w:val="1"/>
        </w:numPr>
        <w:spacing w:line="600" w:lineRule="exact"/>
        <w:ind w:firstLineChars="0"/>
        <w:rPr>
          <w:rFonts w:eastAsia="黑体"/>
          <w:sz w:val="32"/>
          <w:szCs w:val="32"/>
        </w:rPr>
      </w:pPr>
      <w:r>
        <w:rPr>
          <w:rFonts w:eastAsia="黑体"/>
          <w:sz w:val="32"/>
          <w:szCs w:val="32"/>
        </w:rPr>
        <w:t>一般公共预算支出情况</w:t>
      </w:r>
    </w:p>
    <w:p>
      <w:pPr>
        <w:pStyle w:val="5"/>
        <w:widowControl/>
        <w:numPr>
          <w:ilvl w:val="0"/>
          <w:numId w:val="2"/>
        </w:numPr>
        <w:spacing w:line="600" w:lineRule="exact"/>
        <w:ind w:firstLineChars="0"/>
        <w:rPr>
          <w:rFonts w:eastAsia="黑体"/>
          <w:sz w:val="32"/>
          <w:szCs w:val="32"/>
        </w:rPr>
      </w:pPr>
      <w:r>
        <w:rPr>
          <w:rFonts w:eastAsia="黑体"/>
          <w:sz w:val="32"/>
          <w:szCs w:val="32"/>
        </w:rPr>
        <w:t>基本支出情况</w:t>
      </w:r>
    </w:p>
    <w:p>
      <w:pPr>
        <w:spacing w:line="560" w:lineRule="exact"/>
        <w:ind w:firstLine="640" w:firstLineChars="200"/>
        <w:rPr>
          <w:rFonts w:eastAsia="黑体"/>
          <w:sz w:val="32"/>
          <w:szCs w:val="32"/>
        </w:rPr>
      </w:pPr>
      <w:r>
        <w:rPr>
          <w:rFonts w:hint="eastAsia" w:ascii="仿宋_GB2312"/>
          <w:sz w:val="32"/>
          <w:szCs w:val="32"/>
        </w:rPr>
        <w:t>本年度基本支出合计154.76万元，占总支出的比重为46%。</w:t>
      </w:r>
      <w:r>
        <w:rPr>
          <w:rFonts w:hint="eastAsia" w:ascii="仿宋_GB2312" w:hAnsi="Calibri"/>
          <w:color w:val="000000"/>
          <w:sz w:val="32"/>
          <w:szCs w:val="32"/>
          <w:lang w:bidi="ar"/>
        </w:rPr>
        <w:t>一般公共预算财政拨款基本支出中</w:t>
      </w:r>
      <w:r>
        <w:rPr>
          <w:rFonts w:hint="eastAsia" w:ascii="仿宋_GB2312"/>
          <w:sz w:val="32"/>
          <w:szCs w:val="32"/>
        </w:rPr>
        <w:t>人员经费142.7万元，主要包括：基本工资、津贴补贴、奖金、社会保障缴费、其他工资福利支出、离休费、退休费、抚恤金、奖励金、住房公积金、其他对个人和家庭的补助支出；</w:t>
      </w:r>
      <w:r>
        <w:rPr>
          <w:rFonts w:hint="eastAsia" w:ascii="仿宋_GB2312" w:hAnsi="Calibri"/>
          <w:color w:val="000000"/>
          <w:sz w:val="32"/>
          <w:szCs w:val="32"/>
          <w:lang w:bidi="ar"/>
        </w:rPr>
        <w:t>一般公共预算财政拨款基本支出中</w:t>
      </w:r>
      <w:r>
        <w:rPr>
          <w:rFonts w:hint="eastAsia" w:ascii="仿宋_GB2312"/>
          <w:sz w:val="32"/>
          <w:szCs w:val="32"/>
        </w:rPr>
        <w:t>公用经费12.06万元，主要包括：办公费、印刷费、邮电费、差旅费、维修（护）费、会议费、培训费、公务接待费、劳务费、工会经费、福利费、公务用车运行维护费、其他交通费用、其他商品和服务支出。</w:t>
      </w:r>
    </w:p>
    <w:p>
      <w:pPr>
        <w:pStyle w:val="5"/>
        <w:widowControl/>
        <w:numPr>
          <w:ilvl w:val="0"/>
          <w:numId w:val="2"/>
        </w:numPr>
        <w:spacing w:line="600" w:lineRule="exact"/>
        <w:ind w:firstLineChars="0"/>
        <w:rPr>
          <w:rFonts w:eastAsia="黑体"/>
          <w:sz w:val="32"/>
          <w:szCs w:val="32"/>
        </w:rPr>
      </w:pPr>
      <w:r>
        <w:rPr>
          <w:rFonts w:eastAsia="黑体"/>
          <w:sz w:val="32"/>
          <w:szCs w:val="32"/>
        </w:rPr>
        <w:t>项目支出情况</w:t>
      </w:r>
    </w:p>
    <w:p>
      <w:pPr>
        <w:spacing w:line="560" w:lineRule="exact"/>
        <w:ind w:firstLine="640" w:firstLineChars="200"/>
        <w:rPr>
          <w:sz w:val="32"/>
          <w:szCs w:val="32"/>
        </w:rPr>
      </w:pPr>
      <w:r>
        <w:rPr>
          <w:rFonts w:hint="eastAsia" w:ascii="仿宋_GB2312"/>
          <w:sz w:val="32"/>
          <w:szCs w:val="32"/>
        </w:rPr>
        <w:t>本年度项目支出合计179.9万元，占总支出的比重为54%，是指单位为完成特定行政工作任务或事业发展目标而发生的支出，其中，“好戏天天演 欢乐满星城”活动专项61.98万元，主要用于场地租金、水电费及日常运营维护等方面；区诗词楹联协会项目经费14.4万元，主要用于协会的日常运营、期刊编辑等；文化馆场地租金及税金78.18万元，主要用于文化馆办公及活动场地的租赁；文化馆免费开放经费28.57万元，主要用于文化馆免费培训、免费开放及场地日常运营；“欢乐潇湘”文艺展演经费9.37万元，主要用于“欢乐潇湘”文艺展演活动。</w:t>
      </w:r>
    </w:p>
    <w:p>
      <w:pPr>
        <w:widowControl/>
        <w:spacing w:line="600" w:lineRule="exact"/>
        <w:ind w:firstLine="645"/>
        <w:jc w:val="left"/>
        <w:rPr>
          <w:rFonts w:eastAsia="黑体"/>
          <w:sz w:val="32"/>
          <w:szCs w:val="32"/>
        </w:rPr>
      </w:pPr>
      <w:r>
        <w:rPr>
          <w:rFonts w:hint="eastAsia" w:eastAsia="黑体"/>
          <w:sz w:val="32"/>
          <w:szCs w:val="32"/>
        </w:rPr>
        <w:t>三</w:t>
      </w:r>
      <w:r>
        <w:rPr>
          <w:rFonts w:eastAsia="黑体"/>
          <w:sz w:val="32"/>
          <w:szCs w:val="32"/>
        </w:rPr>
        <w:t>、部门整体支出绩效情况</w:t>
      </w:r>
    </w:p>
    <w:p>
      <w:pPr>
        <w:widowControl/>
        <w:snapToGrid w:val="0"/>
        <w:spacing w:line="560" w:lineRule="exact"/>
        <w:ind w:firstLine="640" w:firstLineChars="200"/>
        <w:jc w:val="left"/>
        <w:rPr>
          <w:rFonts w:ascii="仿宋_GB2312" w:hAnsi="仿宋" w:cs="仿宋"/>
          <w:sz w:val="32"/>
          <w:szCs w:val="32"/>
        </w:rPr>
      </w:pPr>
      <w:r>
        <w:rPr>
          <w:rFonts w:hint="eastAsia"/>
          <w:color w:val="000000"/>
          <w:sz w:val="32"/>
          <w:szCs w:val="32"/>
        </w:rPr>
        <w:t>（一）</w:t>
      </w:r>
      <w:r>
        <w:rPr>
          <w:rFonts w:hint="eastAsia" w:ascii="仿宋_GB2312" w:hAnsi="仿宋" w:cs="仿宋"/>
          <w:sz w:val="32"/>
          <w:szCs w:val="32"/>
        </w:rPr>
        <w:t>绩效目标设置情况</w:t>
      </w:r>
    </w:p>
    <w:p>
      <w:pPr>
        <w:widowControl/>
        <w:snapToGrid w:val="0"/>
        <w:spacing w:line="560" w:lineRule="exact"/>
        <w:ind w:firstLine="640" w:firstLineChars="200"/>
        <w:jc w:val="left"/>
        <w:rPr>
          <w:rFonts w:ascii="仿宋_GB2312" w:hAnsi="仿宋" w:cs="仿宋"/>
          <w:sz w:val="32"/>
          <w:szCs w:val="32"/>
        </w:rPr>
      </w:pPr>
      <w:r>
        <w:rPr>
          <w:rFonts w:hint="eastAsia" w:ascii="仿宋_GB2312" w:hAnsi="仿宋" w:cs="仿宋"/>
          <w:sz w:val="32"/>
          <w:szCs w:val="32"/>
        </w:rPr>
        <w:t>1、全年组织大型群众文化活动 10 场，打造精品节目 5 个，组织志愿者文化演出活动14场，指导辖区内各街道（社区）开展各类群文活动；</w:t>
      </w:r>
    </w:p>
    <w:p>
      <w:pPr>
        <w:widowControl/>
        <w:snapToGrid w:val="0"/>
        <w:spacing w:line="560" w:lineRule="exact"/>
        <w:ind w:firstLine="640" w:firstLineChars="200"/>
        <w:jc w:val="left"/>
        <w:rPr>
          <w:rFonts w:ascii="仿宋_GB2312" w:hAnsi="仿宋" w:cs="仿宋"/>
          <w:sz w:val="32"/>
          <w:szCs w:val="32"/>
        </w:rPr>
      </w:pPr>
      <w:r>
        <w:rPr>
          <w:rFonts w:hint="eastAsia" w:ascii="仿宋_GB2312" w:hAnsi="仿宋" w:cs="仿宋"/>
          <w:sz w:val="32"/>
          <w:szCs w:val="32"/>
        </w:rPr>
        <w:t>2、确保所有培训场地100%免费开放，全年开展声乐、舞蹈、主持、美术、器乐等免费培训不少于1000课时；</w:t>
      </w:r>
    </w:p>
    <w:p>
      <w:pPr>
        <w:widowControl/>
        <w:snapToGrid w:val="0"/>
        <w:spacing w:line="560" w:lineRule="exact"/>
        <w:ind w:firstLine="640" w:firstLineChars="200"/>
        <w:jc w:val="left"/>
        <w:rPr>
          <w:rFonts w:ascii="仿宋_GB2312" w:hAnsi="仿宋" w:cs="仿宋"/>
          <w:sz w:val="32"/>
          <w:szCs w:val="32"/>
        </w:rPr>
      </w:pPr>
      <w:r>
        <w:rPr>
          <w:rFonts w:hint="eastAsia" w:ascii="仿宋_GB2312" w:hAnsi="仿宋" w:cs="仿宋"/>
          <w:sz w:val="32"/>
          <w:szCs w:val="32"/>
        </w:rPr>
        <w:t>3、“好戏天天演”活动坚持每周演出，全年剧场内常规演出场次不低于260场；力争组织送戏进基层演出不少于8次；</w:t>
      </w:r>
    </w:p>
    <w:p>
      <w:pPr>
        <w:widowControl/>
        <w:snapToGrid w:val="0"/>
        <w:spacing w:line="560" w:lineRule="exact"/>
        <w:ind w:firstLine="640" w:firstLineChars="200"/>
        <w:jc w:val="left"/>
        <w:rPr>
          <w:rFonts w:ascii="仿宋_GB2312" w:hAnsi="仿宋" w:cs="仿宋"/>
          <w:sz w:val="32"/>
          <w:szCs w:val="32"/>
        </w:rPr>
      </w:pPr>
      <w:r>
        <w:rPr>
          <w:rFonts w:hint="eastAsia" w:ascii="仿宋_GB2312" w:hAnsi="仿宋" w:cs="仿宋"/>
          <w:sz w:val="32"/>
          <w:szCs w:val="32"/>
        </w:rPr>
        <w:t>4、诗词协会全年编印出版《天心阁》正刊1期，副刊3期；《长沙诗词》天心区专栏2期；</w:t>
      </w:r>
    </w:p>
    <w:p>
      <w:pPr>
        <w:widowControl/>
        <w:snapToGrid w:val="0"/>
        <w:spacing w:line="560" w:lineRule="exact"/>
        <w:ind w:firstLine="640" w:firstLineChars="200"/>
        <w:jc w:val="left"/>
        <w:rPr>
          <w:rFonts w:ascii="仿宋_GB2312" w:hAnsi="仿宋" w:cs="仿宋"/>
          <w:sz w:val="32"/>
          <w:szCs w:val="32"/>
        </w:rPr>
      </w:pPr>
      <w:r>
        <w:rPr>
          <w:rFonts w:hint="eastAsia" w:ascii="仿宋_GB2312" w:hAnsi="仿宋" w:cs="仿宋"/>
          <w:sz w:val="32"/>
          <w:szCs w:val="32"/>
        </w:rPr>
        <w:t>（二）绩效目标完成情况</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天心区文化馆在做好日常管理，确保场地正常、有序免费开放的前提下，完成了以下系列工作：</w:t>
      </w:r>
    </w:p>
    <w:p>
      <w:pPr>
        <w:snapToGrid w:val="0"/>
        <w:spacing w:line="640" w:lineRule="exact"/>
        <w:ind w:firstLine="640" w:firstLineChars="200"/>
        <w:rPr>
          <w:rFonts w:ascii="仿宋_GB2312" w:hAnsi="仿宋_GB2312" w:cs="仿宋_GB2312"/>
          <w:kern w:val="1"/>
          <w:sz w:val="32"/>
          <w:szCs w:val="32"/>
        </w:rPr>
      </w:pPr>
      <w:r>
        <w:rPr>
          <w:rFonts w:hint="eastAsia" w:ascii="仿宋_GB2312" w:hAnsi="仿宋_GB2312" w:cs="仿宋_GB2312"/>
          <w:kern w:val="1"/>
          <w:sz w:val="32"/>
          <w:szCs w:val="32"/>
        </w:rPr>
        <w:t>1、依托湘江剧场，开展了“庆五一”全国越剧票友活动、“长沙之韵”京剧折子戏专场演出活动、新中国成立七十周年昆曲折子戏专场等专题演出活动</w:t>
      </w:r>
      <w:bookmarkStart w:id="0" w:name="_GoBack"/>
      <w:bookmarkEnd w:id="0"/>
      <w:r>
        <w:rPr>
          <w:rFonts w:hint="eastAsia" w:ascii="仿宋_GB2312" w:hAnsi="仿宋_GB2312" w:cs="仿宋_GB2312"/>
          <w:kern w:val="1"/>
          <w:sz w:val="32"/>
          <w:szCs w:val="32"/>
        </w:rPr>
        <w:t>近20场。</w:t>
      </w:r>
    </w:p>
    <w:p>
      <w:pPr>
        <w:snapToGrid w:val="0"/>
        <w:spacing w:line="640" w:lineRule="exact"/>
        <w:ind w:firstLine="640" w:firstLineChars="200"/>
        <w:rPr>
          <w:rFonts w:ascii="仿宋_GB2312" w:hAnsi="仿宋_GB2312" w:cs="仿宋_GB2312"/>
          <w:kern w:val="1"/>
          <w:sz w:val="32"/>
          <w:szCs w:val="32"/>
        </w:rPr>
      </w:pPr>
      <w:r>
        <w:rPr>
          <w:rFonts w:hint="eastAsia" w:ascii="仿宋_GB2312" w:hAnsi="仿宋_GB2312" w:cs="仿宋_GB2312"/>
          <w:kern w:val="1"/>
          <w:sz w:val="32"/>
          <w:szCs w:val="32"/>
        </w:rPr>
        <w:t>2、组织贺龙友谊乐团、天心之声艺术团等辖区内优秀群众文艺团队不定期在杜甫江阁广场开展文艺演出活动，节目形式以对唱、舞蹈和器乐表演为主，共计演出了20余场，每场演出均有约40名演员参加，共计服务群众近万人次。</w:t>
      </w:r>
    </w:p>
    <w:p>
      <w:pPr>
        <w:snapToGrid w:val="0"/>
        <w:spacing w:line="640" w:lineRule="exact"/>
        <w:ind w:firstLine="640" w:firstLineChars="200"/>
        <w:rPr>
          <w:rFonts w:ascii="仿宋_GB2312" w:hAnsi="仿宋_GB2312" w:cs="仿宋_GB2312"/>
          <w:kern w:val="1"/>
          <w:sz w:val="32"/>
          <w:szCs w:val="32"/>
        </w:rPr>
      </w:pPr>
      <w:r>
        <w:rPr>
          <w:rFonts w:hint="eastAsia" w:ascii="仿宋_GB2312" w:hAnsi="仿宋_GB2312" w:cs="仿宋_GB2312"/>
          <w:kern w:val="1"/>
          <w:sz w:val="32"/>
          <w:szCs w:val="32"/>
        </w:rPr>
        <w:t>3、组织了志愿者进桂进小学乡村少年宫活动4场，推进了学雷锋志愿服务活动常态化。</w:t>
      </w:r>
    </w:p>
    <w:p>
      <w:pPr>
        <w:snapToGrid w:val="0"/>
        <w:spacing w:line="640" w:lineRule="exact"/>
        <w:ind w:firstLine="640" w:firstLineChars="200"/>
        <w:rPr>
          <w:rFonts w:ascii="仿宋_GB2312" w:hAnsi="仿宋_GB2312" w:cs="仿宋_GB2312"/>
          <w:kern w:val="1"/>
          <w:sz w:val="32"/>
          <w:szCs w:val="32"/>
        </w:rPr>
      </w:pPr>
      <w:r>
        <w:rPr>
          <w:rFonts w:hint="eastAsia" w:ascii="仿宋_GB2312" w:hAnsi="仿宋_GB2312" w:cs="仿宋_GB2312"/>
          <w:kern w:val="1"/>
          <w:sz w:val="32"/>
          <w:szCs w:val="32"/>
        </w:rPr>
        <w:t>4、组织了六场“百姓大舞台 有艺你就来”千团万户百万市民才艺大赛，参与团队70个，人数达到2000人次，天心区有12个节目进入复赛。</w:t>
      </w:r>
    </w:p>
    <w:p>
      <w:pPr>
        <w:spacing w:line="520" w:lineRule="exact"/>
        <w:ind w:firstLine="640" w:firstLineChars="200"/>
        <w:rPr>
          <w:rFonts w:ascii="仿宋_GB2312" w:hAnsi="仿宋_GB2312" w:cs="仿宋_GB2312"/>
          <w:sz w:val="32"/>
          <w:szCs w:val="32"/>
        </w:rPr>
      </w:pPr>
      <w:r>
        <w:rPr>
          <w:rFonts w:hint="eastAsia" w:ascii="仿宋_GB2312" w:hAnsi="仿宋_GB2312" w:cs="仿宋_GB2312"/>
          <w:kern w:val="0"/>
          <w:sz w:val="32"/>
          <w:szCs w:val="32"/>
        </w:rPr>
        <w:t>5、2019年，文化馆公益性培训</w:t>
      </w:r>
      <w:r>
        <w:rPr>
          <w:rFonts w:hint="eastAsia" w:ascii="仿宋_GB2312" w:hAnsi="仿宋_GB2312" w:cs="仿宋_GB2312"/>
          <w:kern w:val="0"/>
          <w:sz w:val="32"/>
          <w:szCs w:val="32"/>
          <w:shd w:val="clear" w:color="auto" w:fill="FFFFFF"/>
        </w:rPr>
        <w:t>进一步扩大面、提升质，</w:t>
      </w:r>
      <w:r>
        <w:rPr>
          <w:rFonts w:hint="eastAsia" w:ascii="仿宋_GB2312" w:hAnsi="仿宋_GB2312" w:cs="仿宋_GB2312"/>
          <w:sz w:val="32"/>
          <w:szCs w:val="32"/>
        </w:rPr>
        <w:t>突出了对传统文化的培训工作，开设了京剧，昆剧，越剧、古筝、古琴、国画等6个传统文化培训班，全年共</w:t>
      </w:r>
      <w:r>
        <w:rPr>
          <w:rFonts w:hint="eastAsia" w:ascii="仿宋_GB2312" w:hAnsi="仿宋_GB2312" w:cs="仿宋_GB2312"/>
          <w:kern w:val="0"/>
          <w:sz w:val="32"/>
          <w:szCs w:val="32"/>
        </w:rPr>
        <w:t>组织开展了公益性免费培训4期，共46个班级，每个班12课时，惠及万余人次，</w:t>
      </w:r>
      <w:r>
        <w:rPr>
          <w:rFonts w:hint="eastAsia" w:ascii="仿宋_GB2312" w:hAnsi="仿宋_GB2312" w:cs="仿宋_GB2312"/>
          <w:sz w:val="32"/>
          <w:szCs w:val="32"/>
        </w:rPr>
        <w:t>进一步扩大了</w:t>
      </w:r>
      <w:r>
        <w:rPr>
          <w:rFonts w:hint="eastAsia" w:ascii="仿宋_GB2312" w:hAnsi="仿宋_GB2312" w:cs="仿宋_GB2312"/>
          <w:kern w:val="0"/>
          <w:sz w:val="32"/>
          <w:szCs w:val="32"/>
        </w:rPr>
        <w:t>文化惠民，让更多</w:t>
      </w:r>
      <w:r>
        <w:rPr>
          <w:rFonts w:hint="eastAsia" w:ascii="仿宋_GB2312" w:hAnsi="仿宋_GB2312" w:cs="仿宋_GB2312"/>
          <w:sz w:val="32"/>
          <w:szCs w:val="32"/>
          <w:shd w:val="clear" w:color="auto" w:fill="FFFFFF"/>
        </w:rPr>
        <w:t>市民群众充分</w:t>
      </w:r>
      <w:r>
        <w:rPr>
          <w:rStyle w:val="4"/>
          <w:rFonts w:hint="eastAsia" w:ascii="仿宋_GB2312" w:hAnsi="仿宋_GB2312" w:cs="仿宋_GB2312"/>
          <w:color w:val="auto"/>
          <w:sz w:val="32"/>
          <w:szCs w:val="32"/>
          <w:shd w:val="clear" w:color="auto" w:fill="FFFFFF"/>
        </w:rPr>
        <w:t>享受到公共文化福利</w:t>
      </w:r>
      <w:r>
        <w:rPr>
          <w:rFonts w:hint="eastAsia" w:ascii="仿宋_GB2312" w:hAnsi="仿宋_GB2312" w:cs="仿宋_GB2312"/>
          <w:sz w:val="32"/>
          <w:szCs w:val="32"/>
        </w:rPr>
        <w:t>。同时，进一步规范了管理，率先在公益培训中实行文化馆专业干部跟班管理，课后学生作业打卡、老师点评，志愿者担任班长管理制度。</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6、2019年，“好戏天天演 欢乐满星城”湖湘活动在市、区两级部门的共同配合下，全年开展了常规演出240余场，服务群众8万余人次；</w:t>
      </w:r>
    </w:p>
    <w:p>
      <w:pPr>
        <w:spacing w:line="560" w:lineRule="exact"/>
        <w:ind w:firstLine="640" w:firstLineChars="200"/>
        <w:rPr>
          <w:rFonts w:ascii="仿宋_GB2312" w:hAnsi="仿宋_GB2312" w:cs="仿宋_GB2312"/>
          <w:color w:val="000000"/>
          <w:sz w:val="32"/>
          <w:szCs w:val="32"/>
        </w:rPr>
      </w:pPr>
      <w:r>
        <w:rPr>
          <w:rFonts w:hint="eastAsia" w:ascii="仿宋_GB2312" w:hAnsi="仿宋_GB2312" w:cs="仿宋_GB2312"/>
          <w:sz w:val="32"/>
          <w:szCs w:val="32"/>
        </w:rPr>
        <w:t>7、开展了“欢乐星城”广场舞活动。常年在贺龙东广场每天开展广场舞免费教学活动，全年服务群众60万余人次。</w:t>
      </w:r>
    </w:p>
    <w:p>
      <w:pPr>
        <w:widowControl/>
        <w:spacing w:line="600" w:lineRule="exact"/>
        <w:ind w:firstLine="645"/>
        <w:jc w:val="left"/>
        <w:rPr>
          <w:rFonts w:eastAsia="黑体"/>
          <w:sz w:val="32"/>
          <w:szCs w:val="32"/>
        </w:rPr>
      </w:pPr>
      <w:r>
        <w:rPr>
          <w:rFonts w:hint="eastAsia" w:eastAsia="黑体"/>
          <w:color w:val="000000"/>
          <w:sz w:val="32"/>
          <w:szCs w:val="32"/>
        </w:rPr>
        <w:t>四</w:t>
      </w:r>
      <w:r>
        <w:rPr>
          <w:rFonts w:eastAsia="黑体"/>
          <w:color w:val="000000"/>
          <w:sz w:val="32"/>
          <w:szCs w:val="32"/>
        </w:rPr>
        <w:t>、</w:t>
      </w:r>
      <w:r>
        <w:rPr>
          <w:rFonts w:eastAsia="黑体"/>
          <w:sz w:val="32"/>
          <w:szCs w:val="32"/>
        </w:rPr>
        <w:t>存在的主要问题及下一步改进措施</w:t>
      </w:r>
    </w:p>
    <w:p>
      <w:pPr>
        <w:widowControl/>
        <w:spacing w:line="600" w:lineRule="exact"/>
        <w:ind w:firstLine="640" w:firstLineChars="200"/>
        <w:jc w:val="left"/>
        <w:rPr>
          <w:sz w:val="32"/>
          <w:szCs w:val="32"/>
        </w:rPr>
      </w:pPr>
      <w:r>
        <w:rPr>
          <w:rFonts w:hint="eastAsia"/>
          <w:sz w:val="32"/>
          <w:szCs w:val="32"/>
        </w:rPr>
        <w:t>1.加强财务管理，严格财务审核。在费用报账支付时，按照预算规定的费用项目和用途进行资金使用审核、列报支付、财务核算，杜绝超支现象的发生。</w:t>
      </w:r>
    </w:p>
    <w:p>
      <w:pPr>
        <w:widowControl/>
        <w:spacing w:line="600" w:lineRule="exact"/>
        <w:ind w:firstLine="640" w:firstLineChars="200"/>
        <w:jc w:val="left"/>
        <w:rPr>
          <w:sz w:val="32"/>
          <w:szCs w:val="32"/>
        </w:rPr>
      </w:pPr>
      <w:r>
        <w:rPr>
          <w:rFonts w:hint="eastAsia"/>
          <w:sz w:val="32"/>
          <w:szCs w:val="32"/>
        </w:rPr>
        <w:t>2．加强项目开展进度的跟踪，开展项目绩效评价，确保项目绩效目标的完成。</w:t>
      </w:r>
    </w:p>
    <w:p>
      <w:pPr>
        <w:widowControl/>
        <w:spacing w:line="600" w:lineRule="exact"/>
        <w:ind w:firstLine="645"/>
        <w:jc w:val="left"/>
        <w:rPr>
          <w:rFonts w:eastAsia="黑体"/>
          <w:sz w:val="32"/>
          <w:szCs w:val="32"/>
        </w:rPr>
      </w:pPr>
      <w:r>
        <w:rPr>
          <w:rFonts w:hint="eastAsia" w:eastAsia="黑体"/>
          <w:sz w:val="32"/>
          <w:szCs w:val="32"/>
        </w:rPr>
        <w:t>五</w:t>
      </w:r>
      <w:r>
        <w:rPr>
          <w:rFonts w:eastAsia="黑体"/>
          <w:sz w:val="32"/>
          <w:szCs w:val="32"/>
        </w:rPr>
        <w:t>、绩效自评结果拟应用和公开情况</w:t>
      </w:r>
    </w:p>
    <w:p>
      <w:pPr>
        <w:widowControl/>
        <w:spacing w:line="600" w:lineRule="exact"/>
        <w:ind w:firstLine="645"/>
        <w:jc w:val="left"/>
        <w:rPr>
          <w:rFonts w:ascii="仿宋_GB2312" w:hAnsi="仿宋_GB2312" w:cs="仿宋_GB2312"/>
          <w:sz w:val="32"/>
          <w:szCs w:val="32"/>
        </w:rPr>
      </w:pPr>
      <w:r>
        <w:rPr>
          <w:rFonts w:hint="eastAsia" w:ascii="仿宋_GB2312" w:hAnsi="仿宋_GB2312" w:cs="仿宋_GB2312"/>
          <w:sz w:val="32"/>
          <w:szCs w:val="32"/>
        </w:rPr>
        <w:t>绩效自评结果将为本单位项目资金的管理及下一年度的年初预算的编制提供重要依据，同时将于部门决算一起对外公开，接受社会各界的监督和指导。</w:t>
      </w:r>
    </w:p>
    <w:p>
      <w:pPr>
        <w:widowControl/>
        <w:spacing w:line="600" w:lineRule="exact"/>
        <w:ind w:firstLine="645"/>
        <w:jc w:val="left"/>
        <w:rPr>
          <w:rFonts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wNTM0OTI1Mjk1NDE2ODRlODJhMTU0YWNiMDNkZjYifQ=="/>
  </w:docVars>
  <w:rsids>
    <w:rsidRoot w:val="33335E57"/>
    <w:rsid w:val="002755CC"/>
    <w:rsid w:val="00570DC4"/>
    <w:rsid w:val="00C56AEE"/>
    <w:rsid w:val="00CF0216"/>
    <w:rsid w:val="0AC27DC3"/>
    <w:rsid w:val="19FB1725"/>
    <w:rsid w:val="2F674619"/>
    <w:rsid w:val="33335E57"/>
    <w:rsid w:val="49E20685"/>
    <w:rsid w:val="585E7C00"/>
    <w:rsid w:val="5BDA3762"/>
    <w:rsid w:val="7A36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Emphasis"/>
    <w:qFormat/>
    <w:uiPriority w:val="0"/>
    <w:rPr>
      <w:color w:val="999999"/>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1697</Words>
  <Characters>1766</Characters>
  <Lines>12</Lines>
  <Paragraphs>3</Paragraphs>
  <TotalTime>3</TotalTime>
  <ScaleCrop>false</ScaleCrop>
  <LinksUpToDate>false</LinksUpToDate>
  <CharactersWithSpaces>1773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2021-12-30T03:23:00Z</dcterms:created>
  <dc:creator>燕窝</dc:creator>
  <cp:lastModifiedBy>Administrator</cp:lastModifiedBy>
  <dcterms:modified xsi:type="dcterms:W3CDTF">2022-07-05T08:41:28Z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37964E47D04B4F439EB501C0B0C6F377</vt:lpwstr>
  </property>
</Properties>
</file>