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天心区部门整体支出绩效自评报告</w:t>
      </w:r>
    </w:p>
    <w:p>
      <w:pPr>
        <w:jc w:val="center"/>
        <w:rPr>
          <w:sz w:val="44"/>
          <w:szCs w:val="44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600" w:lineRule="exact"/>
        <w:jc w:val="center"/>
      </w:pPr>
    </w:p>
    <w:p>
      <w:pPr>
        <w:jc w:val="left"/>
      </w:pPr>
    </w:p>
    <w:p>
      <w:pPr>
        <w:ind w:firstLine="480" w:firstLineChars="150"/>
        <w:jc w:val="left"/>
        <w:rPr>
          <w:rFonts w:ascii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单位名称:长沙市天心区退役军人事务局</w:t>
      </w:r>
      <w:r>
        <w:rPr>
          <w:rFonts w:hint="eastAsia" w:ascii="黑体" w:eastAsia="黑体"/>
          <w:sz w:val="32"/>
          <w:szCs w:val="32"/>
        </w:rPr>
        <w:tab/>
      </w: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jc w:val="center"/>
        <w:rPr>
          <w:rFonts w:ascii="黑体" w:eastAsia="黑体"/>
        </w:rPr>
      </w:pPr>
    </w:p>
    <w:p>
      <w:pPr>
        <w:widowControl/>
        <w:numPr>
          <w:ilvl w:val="0"/>
          <w:numId w:val="1"/>
        </w:numPr>
        <w:spacing w:line="600" w:lineRule="exact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t>部门、单位基本情况</w:t>
      </w:r>
    </w:p>
    <w:p>
      <w:pPr>
        <w:spacing w:line="520" w:lineRule="exact"/>
        <w:ind w:firstLine="560" w:firstLineChars="200"/>
        <w:rPr>
          <w:rFonts w:ascii="华文仿宋" w:hAnsi="华文仿宋" w:eastAsia="华文仿宋" w:cs="宋体"/>
          <w:color w:val="333333"/>
          <w:kern w:val="0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Cs w:val="28"/>
        </w:rPr>
        <w:t>天心区退役军人事务局于2019年3月正式成立，承担着全区近2万退役军人的移交安置、就业创业、军休服务、困难帮扶、优抚褒扬等多项职责，内设办公室、移交安置就业创业科、双拥优抚褒扬科、权益维护科。2019年部门财政供养人员编制数1</w:t>
      </w:r>
      <w:r>
        <w:rPr>
          <w:rFonts w:ascii="华文仿宋" w:hAnsi="华文仿宋" w:eastAsia="华文仿宋" w:cs="宋体"/>
          <w:color w:val="333333"/>
          <w:kern w:val="0"/>
          <w:szCs w:val="28"/>
        </w:rPr>
        <w:t>6</w:t>
      </w:r>
      <w:r>
        <w:rPr>
          <w:rFonts w:hint="eastAsia" w:ascii="华文仿宋" w:hAnsi="华文仿宋" w:eastAsia="华文仿宋" w:cs="宋体"/>
          <w:color w:val="333333"/>
          <w:kern w:val="0"/>
          <w:szCs w:val="28"/>
        </w:rPr>
        <w:t>人、实际在职人数1</w:t>
      </w:r>
      <w:r>
        <w:rPr>
          <w:rFonts w:ascii="华文仿宋" w:hAnsi="华文仿宋" w:eastAsia="华文仿宋" w:cs="宋体"/>
          <w:color w:val="333333"/>
          <w:kern w:val="0"/>
          <w:szCs w:val="28"/>
        </w:rPr>
        <w:t>6</w:t>
      </w:r>
      <w:r>
        <w:rPr>
          <w:rFonts w:hint="eastAsia" w:ascii="华文仿宋" w:hAnsi="华文仿宋" w:eastAsia="华文仿宋" w:cs="宋体"/>
          <w:color w:val="333333"/>
          <w:kern w:val="0"/>
          <w:szCs w:val="28"/>
        </w:rPr>
        <w:t>人。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(一)主要职能: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1、贯彻执行党和国家关于退役军人思想政治、管理保障和安置优抚等工作政策法规。拟订全区退役军人事业发展规划和政策，并组织实施。指导全区退役军人事务工作的改革与发展。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2、负责全区军队计划分配转业干部、自主择业干部、复员干部、离休退休干部、退役士兵和无军籍退休退职职工的移交安置工作。承担全区机关事业单位随军随调家属安置工作。协助做好军队现役干部转改文职人员落户工作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3、负责全区自主择业军转干部、军队离休退休干部和自主就业退役士兵的管理服务工作。协调扶持退役军人和随军随调家属就业创业培训和服务。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4、贯彻落实企业军转干部、企业复员老战士解困政策和复退军人权益保障政策，加强退役军人思想政治工作和服务保障体系建设，会同区有关部门协同做好军人军属的权益维护。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5、负责协调落实移交本区的离休退休军人、符合条件的其他退役军人的住房保障工作，以及退役军人医疗保障、社会保险等待遇保障工作。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6、牵头负责全区军休干部的服务管理工作。落实军队离休退休干部和无军籍退休退职职工有关政治、生活待遇。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7、组织和指导全区的拥军优属、拥政爱民工作。负责本区创建双拥模范单位(双拥模范城)工作。负责全区现役军人、退役军人、军队文职人员和军属优待、抚恤等工作。督促检查双拥政策、法规的落实。指导全区“双带双促”工作的开展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8、负责全区烈士及退役军人荣誉奖励、纪念活动等工作，依法承担英雄烈士保护相关工作。承担全区不适宜继续服役的伤病残军人相关工作。贯彻落实国家和省、市关于国民党抗战老兵等有关人员优待政策。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9、负责全区退役军人身份信息采集统计工作，建立完善统一的退役军人信息网络和信息服务系统。建立完善并维护全区退役军人等相关数据库。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10、指导并监督检查退役军人相关法律法规和政策措施的落实;开展全区退役军人权益维护和有关人员的帮扶援助工作。</w:t>
      </w:r>
    </w:p>
    <w:p>
      <w:pPr>
        <w:pStyle w:val="4"/>
        <w:shd w:val="clear" w:color="auto" w:fill="FFFFFF"/>
        <w:spacing w:before="225" w:beforeAutospacing="0" w:after="225" w:afterAutospacing="0" w:line="480" w:lineRule="atLeast"/>
        <w:ind w:firstLine="480"/>
        <w:textAlignment w:val="center"/>
        <w:rPr>
          <w:rFonts w:ascii="华文仿宋" w:hAnsi="华文仿宋" w:eastAsia="华文仿宋"/>
          <w:color w:val="333333"/>
          <w:sz w:val="28"/>
          <w:szCs w:val="28"/>
        </w:rPr>
      </w:pPr>
      <w:r>
        <w:rPr>
          <w:rFonts w:hint="eastAsia" w:ascii="华文仿宋" w:hAnsi="华文仿宋" w:eastAsia="华文仿宋"/>
          <w:color w:val="333333"/>
          <w:sz w:val="28"/>
          <w:szCs w:val="28"/>
        </w:rPr>
        <w:t>11、完成区委、区政府交办的其他任务。</w:t>
      </w:r>
    </w:p>
    <w:p>
      <w:pPr>
        <w:spacing w:line="520" w:lineRule="exact"/>
        <w:ind w:firstLine="560" w:firstLineChars="200"/>
        <w:rPr>
          <w:rFonts w:ascii="华文仿宋" w:hAnsi="华文仿宋" w:eastAsia="华文仿宋" w:cs="宋体"/>
          <w:color w:val="000000"/>
          <w:kern w:val="0"/>
          <w:szCs w:val="28"/>
        </w:rPr>
      </w:pPr>
    </w:p>
    <w:p>
      <w:pPr>
        <w:pStyle w:val="8"/>
        <w:widowControl/>
        <w:numPr>
          <w:ilvl w:val="0"/>
          <w:numId w:val="1"/>
        </w:numPr>
        <w:spacing w:line="600" w:lineRule="exact"/>
        <w:ind w:firstLineChars="0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t>一般公共预算支出情况</w:t>
      </w:r>
    </w:p>
    <w:p>
      <w:pPr>
        <w:pStyle w:val="8"/>
        <w:widowControl/>
        <w:numPr>
          <w:ilvl w:val="0"/>
          <w:numId w:val="2"/>
        </w:numPr>
        <w:spacing w:line="600" w:lineRule="exact"/>
        <w:ind w:firstLineChars="0"/>
        <w:rPr>
          <w:rFonts w:ascii="华文仿宋" w:hAnsi="华文仿宋" w:eastAsia="华文仿宋" w:cs="宋体"/>
          <w:color w:val="333333"/>
          <w:kern w:val="0"/>
          <w:szCs w:val="28"/>
        </w:rPr>
      </w:pPr>
      <w:r>
        <w:rPr>
          <w:rFonts w:ascii="华文仿宋" w:hAnsi="华文仿宋" w:eastAsia="华文仿宋" w:cs="宋体"/>
          <w:color w:val="333333"/>
          <w:kern w:val="0"/>
          <w:szCs w:val="28"/>
        </w:rPr>
        <w:t>基本支出情况</w:t>
      </w:r>
    </w:p>
    <w:p>
      <w:pPr>
        <w:pStyle w:val="8"/>
        <w:widowControl/>
        <w:spacing w:line="600" w:lineRule="exact"/>
        <w:ind w:firstLineChars="0"/>
        <w:rPr>
          <w:rFonts w:ascii="华文仿宋" w:hAnsi="华文仿宋" w:eastAsia="华文仿宋" w:cs="宋体"/>
          <w:color w:val="333333"/>
          <w:kern w:val="0"/>
          <w:szCs w:val="28"/>
        </w:rPr>
      </w:pPr>
      <w:r>
        <w:rPr>
          <w:rFonts w:hint="eastAsia" w:ascii="华文仿宋" w:hAnsi="华文仿宋" w:eastAsia="华文仿宋" w:cs="宋体"/>
          <w:color w:val="333333"/>
          <w:kern w:val="0"/>
          <w:szCs w:val="28"/>
        </w:rPr>
        <w:t>2019年基本支出</w:t>
      </w:r>
      <w:r>
        <w:rPr>
          <w:rFonts w:ascii="华文仿宋" w:hAnsi="华文仿宋" w:eastAsia="华文仿宋" w:cs="宋体"/>
          <w:color w:val="333333"/>
          <w:kern w:val="0"/>
          <w:szCs w:val="28"/>
        </w:rPr>
        <w:t>142.94</w:t>
      </w:r>
      <w:r>
        <w:rPr>
          <w:rFonts w:hint="eastAsia" w:ascii="华文仿宋" w:hAnsi="华文仿宋" w:eastAsia="华文仿宋" w:cs="宋体"/>
          <w:color w:val="333333"/>
          <w:kern w:val="0"/>
          <w:szCs w:val="28"/>
        </w:rPr>
        <w:t>万元，主要是为保障单位机构运转、完成日常工作任务而发生的各项支出，包括基本工资、津贴补贴等人员经费、办公费、劳务费、邮电费、办公设备购置费等日常公用经费。2019年无“三公”经费支出。</w:t>
      </w:r>
    </w:p>
    <w:p>
      <w:pPr>
        <w:pStyle w:val="8"/>
        <w:widowControl/>
        <w:numPr>
          <w:ilvl w:val="0"/>
          <w:numId w:val="2"/>
        </w:numPr>
        <w:spacing w:line="600" w:lineRule="exact"/>
        <w:ind w:firstLineChars="0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t>项目支出情况</w:t>
      </w:r>
    </w:p>
    <w:p>
      <w:pPr>
        <w:spacing w:line="360" w:lineRule="auto"/>
        <w:ind w:firstLine="560" w:firstLineChars="200"/>
        <w:contextualSpacing/>
        <w:rPr>
          <w:rFonts w:ascii="华文仿宋" w:hAnsi="华文仿宋" w:eastAsia="华文仿宋"/>
          <w:color w:val="333333"/>
          <w:szCs w:val="28"/>
          <w:shd w:val="clear" w:color="auto" w:fill="FFFFFF"/>
        </w:rPr>
      </w:pP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2019年项目部门预算收入为8104.93万元，部门预算支出</w:t>
      </w:r>
      <w:r>
        <w:rPr>
          <w:rFonts w:ascii="华文仿宋" w:hAnsi="华文仿宋" w:eastAsia="华文仿宋"/>
          <w:color w:val="333333"/>
          <w:szCs w:val="28"/>
          <w:shd w:val="clear" w:color="auto" w:fill="FFFFFF"/>
        </w:rPr>
        <w:t>7997.</w:t>
      </w: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94万元。</w:t>
      </w:r>
    </w:p>
    <w:p>
      <w:pPr>
        <w:spacing w:line="360" w:lineRule="auto"/>
        <w:ind w:firstLine="560" w:firstLineChars="200"/>
        <w:contextualSpacing/>
        <w:rPr>
          <w:rFonts w:ascii="华文仿宋" w:hAnsi="华文仿宋" w:eastAsia="华文仿宋" w:cs="仿宋_GB2312"/>
          <w:szCs w:val="28"/>
        </w:rPr>
      </w:pPr>
      <w:r>
        <w:rPr>
          <w:rFonts w:ascii="华文仿宋" w:hAnsi="华文仿宋" w:eastAsia="华文仿宋"/>
          <w:color w:val="333333"/>
          <w:szCs w:val="28"/>
          <w:shd w:val="clear" w:color="auto" w:fill="FFFFFF"/>
        </w:rPr>
        <w:t>1.</w:t>
      </w: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专项经费：优抚对象医疗补助支出1</w:t>
      </w:r>
      <w:r>
        <w:rPr>
          <w:rFonts w:ascii="华文仿宋" w:hAnsi="华文仿宋" w:eastAsia="华文仿宋"/>
          <w:color w:val="333333"/>
          <w:szCs w:val="28"/>
          <w:shd w:val="clear" w:color="auto" w:fill="FFFFFF"/>
        </w:rPr>
        <w:t>51.1</w:t>
      </w: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万元，</w:t>
      </w:r>
      <w:r>
        <w:rPr>
          <w:rFonts w:hint="eastAsia" w:ascii="华文仿宋" w:hAnsi="华文仿宋" w:eastAsia="华文仿宋" w:cs="仿宋_GB2312"/>
          <w:szCs w:val="28"/>
        </w:rPr>
        <w:t>主要用于保障优抚对象医疗待遇、切实解决优抚对象医疗困难问题；拥军优属经费支出237.06万元，主要用于</w:t>
      </w: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春节和八一慰问驻区部队及退役军人及</w:t>
      </w:r>
      <w:r>
        <w:rPr>
          <w:rFonts w:hint="eastAsia" w:ascii="华文仿宋" w:hAnsi="华文仿宋" w:eastAsia="华文仿宋" w:cs="仿宋_GB2312"/>
          <w:szCs w:val="28"/>
        </w:rPr>
        <w:t>打造双拥示范点、营造良好的社会氛围</w:t>
      </w:r>
      <w:r>
        <w:rPr>
          <w:rFonts w:hint="eastAsia" w:ascii="华文仿宋" w:hAnsi="华文仿宋" w:eastAsia="华文仿宋"/>
          <w:color w:val="333333"/>
          <w:szCs w:val="28"/>
          <w:shd w:val="clear" w:color="auto" w:fill="FFFFFF"/>
        </w:rPr>
        <w:t>；</w:t>
      </w:r>
      <w:r>
        <w:rPr>
          <w:rFonts w:hint="eastAsia" w:ascii="华文仿宋" w:hAnsi="华文仿宋" w:eastAsia="华文仿宋" w:cs="仿宋_GB2312"/>
          <w:szCs w:val="28"/>
        </w:rPr>
        <w:t>安置、军休、易地安置、义务兵家属优待金、优抚经费支出7</w:t>
      </w:r>
      <w:r>
        <w:rPr>
          <w:rFonts w:ascii="华文仿宋" w:hAnsi="华文仿宋" w:eastAsia="华文仿宋" w:cs="仿宋_GB2312"/>
          <w:szCs w:val="28"/>
        </w:rPr>
        <w:t>47</w:t>
      </w:r>
      <w:r>
        <w:rPr>
          <w:rFonts w:hint="eastAsia" w:ascii="华文仿宋" w:hAnsi="华文仿宋" w:eastAsia="华文仿宋" w:cs="仿宋_GB2312"/>
          <w:szCs w:val="28"/>
        </w:rPr>
        <w:t>3.03万元，</w:t>
      </w:r>
      <w:r>
        <w:rPr>
          <w:rFonts w:hint="eastAsia" w:ascii="华文仿宋" w:hAnsi="华文仿宋" w:eastAsia="华文仿宋"/>
          <w:szCs w:val="28"/>
        </w:rPr>
        <w:t>主要用于</w:t>
      </w:r>
      <w:r>
        <w:rPr>
          <w:rFonts w:hint="eastAsia" w:ascii="华文仿宋" w:hAnsi="华文仿宋" w:eastAsia="华文仿宋" w:cs="仿宋_GB2312"/>
          <w:szCs w:val="28"/>
        </w:rPr>
        <w:t>优抚对象发放各类抚恤补助经费、价格临时补贴、病故军人一次性抚恤金、义务兵家庭优待金等资金</w:t>
      </w:r>
      <w:r>
        <w:rPr>
          <w:rFonts w:hint="eastAsia" w:ascii="华文仿宋" w:hAnsi="华文仿宋" w:eastAsia="华文仿宋"/>
          <w:szCs w:val="28"/>
        </w:rPr>
        <w:t>、</w:t>
      </w:r>
      <w:r>
        <w:rPr>
          <w:rFonts w:hint="eastAsia" w:ascii="华文仿宋" w:hAnsi="华文仿宋" w:eastAsia="华文仿宋" w:cs="仿宋_GB2312"/>
          <w:szCs w:val="28"/>
        </w:rPr>
        <w:t>退役士兵一次性经济补助、退役士兵待安置期间生活费、军休干部和无军籍职工退休金及奖金津补贴。</w:t>
      </w:r>
    </w:p>
    <w:p>
      <w:pPr>
        <w:spacing w:line="360" w:lineRule="auto"/>
        <w:ind w:firstLine="560" w:firstLineChars="200"/>
        <w:contextualSpacing/>
        <w:rPr>
          <w:rFonts w:ascii="华文仿宋" w:hAnsi="华文仿宋" w:eastAsia="华文仿宋"/>
          <w:szCs w:val="28"/>
        </w:rPr>
      </w:pPr>
      <w:r>
        <w:rPr>
          <w:rFonts w:hint="eastAsia" w:ascii="华文仿宋" w:hAnsi="华文仿宋" w:eastAsia="华文仿宋" w:cs="仿宋_GB2312"/>
          <w:szCs w:val="28"/>
        </w:rPr>
        <w:t>2</w:t>
      </w:r>
      <w:r>
        <w:rPr>
          <w:rFonts w:ascii="华文仿宋" w:hAnsi="华文仿宋" w:eastAsia="华文仿宋" w:cs="仿宋_GB2312"/>
          <w:szCs w:val="28"/>
        </w:rPr>
        <w:t>.</w:t>
      </w:r>
      <w:r>
        <w:rPr>
          <w:rFonts w:hint="eastAsia" w:ascii="华文仿宋" w:hAnsi="华文仿宋" w:eastAsia="华文仿宋" w:cs="仿宋_GB2312"/>
          <w:szCs w:val="28"/>
        </w:rPr>
        <w:t>业务工作经费：退役军人事务局筹备组办公经费8</w:t>
      </w:r>
      <w:r>
        <w:rPr>
          <w:rFonts w:ascii="华文仿宋" w:hAnsi="华文仿宋" w:eastAsia="华文仿宋" w:cs="仿宋_GB2312"/>
          <w:szCs w:val="28"/>
        </w:rPr>
        <w:t>1.37</w:t>
      </w:r>
      <w:r>
        <w:rPr>
          <w:rFonts w:hint="eastAsia" w:ascii="华文仿宋" w:hAnsi="华文仿宋" w:eastAsia="华文仿宋" w:cs="仿宋_GB2312"/>
          <w:szCs w:val="28"/>
        </w:rPr>
        <w:t>万元，主要用于筹备期办公阵地、资产采购及筹备期日常运营经费；文明创建工作经费1万元，主要用于发放最美退役军人、优秀退役军人评选奖金；部分退役士兵社保接续专班工作经费22.16万元，主要用于退役士兵社保接续专班工作；退役军人服务办工作经费2</w:t>
      </w:r>
      <w:r>
        <w:rPr>
          <w:rFonts w:ascii="华文仿宋" w:hAnsi="华文仿宋" w:eastAsia="华文仿宋" w:cs="仿宋_GB2312"/>
          <w:szCs w:val="28"/>
        </w:rPr>
        <w:t>9.83</w:t>
      </w:r>
      <w:r>
        <w:rPr>
          <w:rFonts w:hint="eastAsia" w:ascii="华文仿宋" w:hAnsi="华文仿宋" w:eastAsia="华文仿宋" w:cs="仿宋_GB2312"/>
          <w:szCs w:val="28"/>
        </w:rPr>
        <w:t>万元，主要用于权益维护信访维稳工作；退役军人服务办聘用人员经费2</w:t>
      </w:r>
      <w:r>
        <w:rPr>
          <w:rFonts w:ascii="华文仿宋" w:hAnsi="华文仿宋" w:eastAsia="华文仿宋" w:cs="仿宋_GB2312"/>
          <w:szCs w:val="28"/>
        </w:rPr>
        <w:t>.39</w:t>
      </w:r>
      <w:r>
        <w:rPr>
          <w:rFonts w:hint="eastAsia" w:ascii="华文仿宋" w:hAnsi="华文仿宋" w:eastAsia="华文仿宋" w:cs="仿宋_GB2312"/>
          <w:szCs w:val="28"/>
        </w:rPr>
        <w:t>万元</w:t>
      </w:r>
      <w:r>
        <w:rPr>
          <w:rFonts w:hint="eastAsia" w:ascii="华文仿宋" w:hAnsi="华文仿宋" w:eastAsia="华文仿宋"/>
          <w:szCs w:val="28"/>
        </w:rPr>
        <w:t>。</w:t>
      </w:r>
    </w:p>
    <w:p>
      <w:pPr>
        <w:widowControl/>
        <w:spacing w:line="600" w:lineRule="exact"/>
        <w:ind w:firstLine="645"/>
        <w:jc w:val="left"/>
        <w:rPr>
          <w:rFonts w:ascii="华文仿宋" w:hAnsi="华文仿宋" w:eastAsia="华文仿宋"/>
          <w:szCs w:val="28"/>
        </w:rPr>
      </w:pPr>
      <w:r>
        <w:rPr>
          <w:rFonts w:hint="eastAsia" w:ascii="华文仿宋" w:hAnsi="华文仿宋" w:eastAsia="华文仿宋"/>
          <w:szCs w:val="28"/>
        </w:rPr>
        <w:t>三</w:t>
      </w:r>
      <w:r>
        <w:rPr>
          <w:rFonts w:ascii="华文仿宋" w:hAnsi="华文仿宋" w:eastAsia="华文仿宋"/>
          <w:szCs w:val="28"/>
        </w:rPr>
        <w:t>、部门整体支出绩效情况</w:t>
      </w:r>
    </w:p>
    <w:p>
      <w:pPr>
        <w:widowControl/>
        <w:snapToGrid w:val="0"/>
        <w:spacing w:line="560" w:lineRule="exact"/>
        <w:ind w:firstLine="560" w:firstLineChars="200"/>
        <w:jc w:val="left"/>
        <w:rPr>
          <w:rFonts w:ascii="华文仿宋" w:hAnsi="华文仿宋" w:eastAsia="华文仿宋" w:cs="仿宋"/>
          <w:szCs w:val="28"/>
        </w:rPr>
      </w:pPr>
      <w:r>
        <w:rPr>
          <w:rFonts w:hint="eastAsia" w:ascii="华文仿宋" w:hAnsi="华文仿宋" w:eastAsia="华文仿宋"/>
          <w:color w:val="000000"/>
          <w:szCs w:val="28"/>
        </w:rPr>
        <w:t>（一）</w:t>
      </w:r>
      <w:r>
        <w:rPr>
          <w:rFonts w:hint="eastAsia" w:ascii="华文仿宋" w:hAnsi="华文仿宋" w:eastAsia="华文仿宋" w:cs="仿宋"/>
          <w:szCs w:val="28"/>
        </w:rPr>
        <w:t>绩效目标设置情况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134"/>
        <w:gridCol w:w="2835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项目名称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目标类型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目标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目标类型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left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优抚对象医疗补助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质量目标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根据《长沙市天心区优抚兑现个医疗保障实施细则》，建立优抚对象医疗保障信息资料档案，合理确定协议管理医疗服务机构，对符合条件的人员进行救助或者补助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社会效益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建立以资料参保为主，以优抚对象医疗补助、医疗救助为辅的优抚对象医疗保障制度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及时目标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及时发放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成本目标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按照文件规定的标准进行补助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服务对象满意度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对发放及时性的满意度100%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拥军优属经费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质量目标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春节召开军政迎春座谈会，“八一”建军节慰问驻区部队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社会效益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共叙军民情深，维护社会和谐稳定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时效目标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走访慰问及时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满意度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满意度达90%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sz w:val="21"/>
                <w:szCs w:val="21"/>
              </w:rPr>
              <w:t>安置、军休、易地安置、义务兵家属优待金、优抚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时效目标</w:t>
            </w:r>
          </w:p>
        </w:tc>
        <w:tc>
          <w:tcPr>
            <w:tcW w:w="283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按政策及时发放</w:t>
            </w:r>
          </w:p>
        </w:tc>
        <w:tc>
          <w:tcPr>
            <w:tcW w:w="1134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社会效益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保障优抚对象、军休人员基本你生活，维护社会稳定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仿宋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业务工作经费</w:t>
            </w:r>
          </w:p>
        </w:tc>
        <w:tc>
          <w:tcPr>
            <w:tcW w:w="6804" w:type="dxa"/>
            <w:gridSpan w:val="4"/>
          </w:tcPr>
          <w:p>
            <w:pPr>
              <w:widowControl/>
              <w:snapToGrid w:val="0"/>
              <w:spacing w:line="560" w:lineRule="exact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同部门整体支出绩效目标</w:t>
            </w:r>
          </w:p>
        </w:tc>
      </w:tr>
    </w:tbl>
    <w:p>
      <w:pPr>
        <w:widowControl/>
        <w:snapToGrid w:val="0"/>
        <w:spacing w:line="560" w:lineRule="exact"/>
        <w:ind w:firstLine="420" w:firstLineChars="150"/>
        <w:jc w:val="left"/>
        <w:rPr>
          <w:rFonts w:ascii="华文仿宋" w:hAnsi="华文仿宋" w:eastAsia="华文仿宋" w:cs="仿宋"/>
          <w:szCs w:val="28"/>
        </w:rPr>
      </w:pPr>
      <w:r>
        <w:rPr>
          <w:rFonts w:hint="eastAsia" w:ascii="华文仿宋" w:hAnsi="华文仿宋" w:eastAsia="华文仿宋" w:cs="仿宋"/>
          <w:szCs w:val="28"/>
        </w:rPr>
        <w:t>（二）绩效目标完成情况</w:t>
      </w:r>
    </w:p>
    <w:p>
      <w:pPr>
        <w:spacing w:line="360" w:lineRule="auto"/>
        <w:ind w:firstLine="560" w:firstLineChars="200"/>
        <w:contextualSpacing/>
        <w:rPr>
          <w:rFonts w:ascii="华文仿宋" w:hAnsi="华文仿宋" w:eastAsia="华文仿宋" w:cs="仿宋"/>
          <w:szCs w:val="28"/>
        </w:rPr>
      </w:pPr>
      <w:r>
        <w:rPr>
          <w:rFonts w:hint="eastAsia" w:ascii="华文仿宋" w:hAnsi="华文仿宋" w:eastAsia="华文仿宋" w:cs="仿宋"/>
          <w:szCs w:val="28"/>
        </w:rPr>
        <w:t>我局全年足额按时发放各类资金，较好的完成了2019年度抚对象抚恤补助、优抚对象医疗保障、退役军人及其他优抚对象特殊困难援助、退役安置补助、军队转业干部补助项目任务，有力推进各项工作开展，保障了各类对象的基本生活，取得良好的社会效益。</w:t>
      </w:r>
    </w:p>
    <w:p>
      <w:pPr>
        <w:widowControl/>
        <w:spacing w:line="600" w:lineRule="exact"/>
        <w:ind w:firstLine="645"/>
        <w:jc w:val="left"/>
        <w:rPr>
          <w:rFonts w:ascii="华文仿宋" w:hAnsi="华文仿宋" w:eastAsia="华文仿宋"/>
          <w:szCs w:val="28"/>
        </w:rPr>
      </w:pPr>
      <w:r>
        <w:rPr>
          <w:rFonts w:hint="eastAsia" w:ascii="华文仿宋" w:hAnsi="华文仿宋" w:eastAsia="华文仿宋"/>
          <w:color w:val="000000"/>
          <w:szCs w:val="28"/>
        </w:rPr>
        <w:t>四</w:t>
      </w:r>
      <w:r>
        <w:rPr>
          <w:rFonts w:ascii="华文仿宋" w:hAnsi="华文仿宋" w:eastAsia="华文仿宋"/>
          <w:color w:val="000000"/>
          <w:szCs w:val="28"/>
        </w:rPr>
        <w:t>、</w:t>
      </w:r>
      <w:r>
        <w:rPr>
          <w:rFonts w:ascii="华文仿宋" w:hAnsi="华文仿宋" w:eastAsia="华文仿宋"/>
          <w:szCs w:val="28"/>
        </w:rPr>
        <w:t>存在的主要问题及下一步改进措施</w:t>
      </w:r>
    </w:p>
    <w:p>
      <w:pPr>
        <w:widowControl/>
        <w:spacing w:line="600" w:lineRule="exact"/>
        <w:ind w:firstLine="645"/>
        <w:jc w:val="left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绩效目标设立不够明确、细化和量化。项目单位虽然设立了项目资金绩效目标，但目标不够明确、细化和量化。在下一步工作中我局将进一步规范绩效目标编制。在编制项目资金绩效目标时要求指向明确、细化量化、合理可行、相应匹配。</w:t>
      </w:r>
    </w:p>
    <w:p>
      <w:pPr>
        <w:widowControl/>
        <w:spacing w:line="600" w:lineRule="exact"/>
        <w:ind w:firstLine="645"/>
        <w:jc w:val="left"/>
        <w:rPr>
          <w:rFonts w:ascii="华文仿宋" w:hAnsi="华文仿宋" w:eastAsia="华文仿宋"/>
          <w:szCs w:val="28"/>
        </w:rPr>
      </w:pPr>
      <w:r>
        <w:rPr>
          <w:rFonts w:hint="eastAsia" w:ascii="华文仿宋" w:hAnsi="华文仿宋" w:eastAsia="华文仿宋"/>
          <w:szCs w:val="28"/>
        </w:rPr>
        <w:t>五</w:t>
      </w:r>
      <w:r>
        <w:rPr>
          <w:rFonts w:ascii="华文仿宋" w:hAnsi="华文仿宋" w:eastAsia="华文仿宋"/>
          <w:szCs w:val="28"/>
        </w:rPr>
        <w:t>、其他需要说明的情况</w:t>
      </w:r>
    </w:p>
    <w:p>
      <w:pPr>
        <w:widowControl/>
        <w:spacing w:line="600" w:lineRule="exact"/>
        <w:ind w:firstLine="645"/>
        <w:jc w:val="left"/>
        <w:rPr>
          <w:rFonts w:ascii="华文仿宋" w:hAnsi="华文仿宋" w:eastAsia="华文仿宋"/>
          <w:szCs w:val="28"/>
        </w:rPr>
      </w:pPr>
      <w:r>
        <w:rPr>
          <w:rFonts w:hint="eastAsia" w:ascii="华文仿宋" w:hAnsi="华文仿宋" w:eastAsia="华文仿宋"/>
          <w:szCs w:val="28"/>
        </w:rPr>
        <w:t>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6AD"/>
    <w:multiLevelType w:val="multilevel"/>
    <w:tmpl w:val="318206A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9AC1E24"/>
    <w:multiLevelType w:val="multilevel"/>
    <w:tmpl w:val="79AC1E24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006"/>
    <w:rsid w:val="0002147D"/>
    <w:rsid w:val="00073A60"/>
    <w:rsid w:val="00087DC0"/>
    <w:rsid w:val="00291F84"/>
    <w:rsid w:val="00445CEA"/>
    <w:rsid w:val="004F1582"/>
    <w:rsid w:val="007B5C0B"/>
    <w:rsid w:val="007C790B"/>
    <w:rsid w:val="008F6119"/>
    <w:rsid w:val="00932006"/>
    <w:rsid w:val="009D3AC8"/>
    <w:rsid w:val="00A121BA"/>
    <w:rsid w:val="00A8170D"/>
    <w:rsid w:val="00C457C6"/>
    <w:rsid w:val="00DC58E7"/>
    <w:rsid w:val="00EA7C69"/>
    <w:rsid w:val="00F867E7"/>
    <w:rsid w:val="7F4C1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_Style 4"/>
    <w:basedOn w:val="1"/>
    <w:next w:val="9"/>
    <w:qFormat/>
    <w:uiPriority w:val="99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357</Words>
  <Characters>2039</Characters>
  <Lines>16</Lines>
  <Paragraphs>4</Paragraphs>
  <TotalTime>32</TotalTime>
  <ScaleCrop>false</ScaleCrop>
  <LinksUpToDate>false</LinksUpToDate>
  <CharactersWithSpaces>2392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2020-05-15T03:12:00Z</dcterms:created>
  <dc:creator>PC</dc:creator>
  <cp:lastModifiedBy>夏日清风</cp:lastModifiedBy>
  <dcterms:modified xsi:type="dcterms:W3CDTF">2020-10-10T06:36:41Z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