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2</w:t>
      </w:r>
      <w:r>
        <w:rPr>
          <w:rFonts w:hint="eastAsia" w:ascii="宋体" w:hAnsi="宋体" w:eastAsia="方正小标宋简体" w:cs="宋体"/>
          <w:color w:val="000000"/>
          <w:kern w:val="0"/>
          <w:sz w:val="44"/>
          <w:szCs w:val="44"/>
        </w:rPr>
        <w:t>年基本公共卫生服务专项资金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342"/>
        <w:gridCol w:w="726"/>
        <w:gridCol w:w="1468"/>
        <w:gridCol w:w="1990"/>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基本公共卫生服务专项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天心区卫生健康局</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1139万元</w:t>
            </w:r>
          </w:p>
        </w:tc>
      </w:tr>
      <w:tr>
        <w:tblPrEx>
          <w:tblCellMar>
            <w:top w:w="15" w:type="dxa"/>
            <w:left w:w="108" w:type="dxa"/>
            <w:bottom w:w="15" w:type="dxa"/>
            <w:right w:w="108" w:type="dxa"/>
          </w:tblCellMar>
        </w:tblPrEx>
        <w:trPr>
          <w:trHeight w:val="3725"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居民电子健康档案规范建档率达到90%以上；适龄儿童免疫规划疫苗接种率保持90%以上；0～6岁儿童健康管理率均达到90%以上；早孕建册率和产后访视率分别达到90%以上；老年人健康管理率达到70%以上；高血压和糖尿病患者规范管理率达到60%以上；严重精神疾病患者规范管理率达到80%以上；肺结核患者健康管理率达到90%以上；传染病及突发公共卫生事件报告率分别达到95%以上；老年人、儿童中医药健康管理率分别达到65%以上。服务对象综合知晓率50%及以上，服务对象满意度80%，城乡居民公共卫生差距逐步缩小，基本公共卫生服务水平不断提高。通过组建家庭医生服务团队，建立目标明确、内容清晰、服务规范、政策配套的家庭医生签约服务制度；老年人、高血压、糖尿病患者、孕产妇、儿童、残疾人、肺结核患者、精神病患者等重点人群签约服务覆盖率达到60%以上；辖区常住居民签约率达到30%，引导签约对象优先利用家庭医生诊疗服务，全区城乡居民在基层医疗卫生机构首诊率、转诊比例、群众满意度逐年提高。重点做好老年人家庭医生签约工作，提高其获得感和满意度。</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4112"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质量指标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高血压、糖尿病患者规范管理率≥60%；严重精神疾病患者规范管理率≥80%以上；肺结核患者健康管理率≥90%；传染病及突发公共卫生事件报告率≥95%。</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65%-95%</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高血压、糖尿病患者规范管理率≥60%；严重精神疾病患者规范管理率≥80%以上；肺结核患者健康管理率≥90%；传染病及突发公共卫生事件报告率≥95%。</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高血压、糖尿病患者规范管理率≥60%，得3分，低于60%，按比例得分；严重精神疾病患者规范管理率≥80%以上得2.5分，低于80%按比例得分；肺结核患者健康管理率≥90%得1分，低于90%按比例得分；传染病及突发公共卫生事件报告率≥95%得1分，低于95%按比例得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百分比</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定量</w:t>
            </w:r>
          </w:p>
        </w:tc>
      </w:tr>
      <w:tr>
        <w:tblPrEx>
          <w:tblCellMar>
            <w:top w:w="15" w:type="dxa"/>
            <w:left w:w="108" w:type="dxa"/>
            <w:bottom w:w="15" w:type="dxa"/>
            <w:right w:w="108" w:type="dxa"/>
          </w:tblCellMar>
        </w:tblPrEx>
        <w:trPr>
          <w:trHeight w:val="5882"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数量指标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p>
            <w:pPr>
              <w:widowControl/>
              <w:spacing w:line="240" w:lineRule="exact"/>
              <w:jc w:val="center"/>
              <w:rPr>
                <w:rFonts w:hint="eastAsia" w:ascii="宋体" w:hAnsi="宋体" w:cs="宋体"/>
                <w:color w:val="000000"/>
                <w:kern w:val="0"/>
                <w:szCs w:val="21"/>
              </w:rPr>
            </w:pP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居民电子健康档案建档率≥90%；适龄儿童免疫规划疫苗接种率≥90%；0～6岁儿童健康管理率≥90%；早孕建册率和产后访视率≥90%；老年人健康管理率≥70%；老年人、儿童中医药健康管理率分别达到65%以上</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65%-95%</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Cs w:val="21"/>
                <w:lang w:val="en-US" w:eastAsia="zh-CN"/>
              </w:rPr>
            </w:pPr>
          </w:p>
          <w:p>
            <w:pPr>
              <w:widowControl/>
              <w:spacing w:line="240" w:lineRule="exact"/>
              <w:jc w:val="center"/>
              <w:rPr>
                <w:rFonts w:hint="default" w:ascii="宋体" w:hAnsi="宋体" w:eastAsia="宋体" w:cs="宋体"/>
                <w:color w:val="000000"/>
                <w:kern w:val="0"/>
                <w:szCs w:val="21"/>
                <w:lang w:val="en-US" w:eastAsia="zh-CN"/>
              </w:rPr>
            </w:pPr>
          </w:p>
          <w:p>
            <w:pPr>
              <w:widowControl/>
              <w:spacing w:line="240" w:lineRule="exact"/>
              <w:jc w:val="center"/>
              <w:rPr>
                <w:rFonts w:hint="default" w:ascii="宋体" w:hAnsi="宋体" w:eastAsia="宋体" w:cs="宋体"/>
                <w:color w:val="000000"/>
                <w:kern w:val="0"/>
                <w:szCs w:val="21"/>
                <w:lang w:val="en-US" w:eastAsia="zh-CN"/>
              </w:rPr>
            </w:pPr>
          </w:p>
          <w:p>
            <w:pPr>
              <w:widowControl/>
              <w:spacing w:line="240" w:lineRule="exact"/>
              <w:jc w:val="center"/>
              <w:rPr>
                <w:rFonts w:hint="default"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居民电子健康档案建档率≥90%；适龄儿童免疫规划疫苗接种率≥90%；0～6岁儿童健康管理率≥90%；早孕建册率和产后访视率≥90%；老年人健康管理率≥70%；老年人、儿童中医药健康管理率分别达到65%以上</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居民电子健康档案建档率≥90%得2分，低于90%按比例得分；适龄儿童免疫规划疫苗接种率≥90%得2分，低于90%按比例得分；0～6岁儿童健康管理率≥90%得2分，低于90%按比例得分；早孕建册率和产后访视率≥90%得2分，低于90%按比例得分；老年人健康管理率≥70%得5分，低于70%按比例得分，低于35%不得分；老年人、儿童中医药健康管理率分别达到65%得2分，低于65%按比例得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百分比</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定量</w:t>
            </w:r>
          </w:p>
        </w:tc>
      </w:tr>
      <w:tr>
        <w:tblPrEx>
          <w:tblCellMar>
            <w:top w:w="15" w:type="dxa"/>
            <w:left w:w="108" w:type="dxa"/>
            <w:bottom w:w="15" w:type="dxa"/>
            <w:right w:w="108" w:type="dxa"/>
          </w:tblCellMar>
        </w:tblPrEx>
        <w:trPr>
          <w:trHeight w:val="141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社会效益指标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服务对象综合知晓率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服务对象综合知晓率50%及以上</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服务对象综合知晓率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15" w:type="dxa"/>
            <w:left w:w="108" w:type="dxa"/>
            <w:bottom w:w="15" w:type="dxa"/>
            <w:right w:w="108" w:type="dxa"/>
          </w:tblCellMar>
        </w:tblPrEx>
        <w:trPr>
          <w:trHeight w:val="144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服务对象满意度指标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spacing w:val="-6"/>
                <w:kern w:val="0"/>
                <w:szCs w:val="21"/>
              </w:rPr>
            </w:pPr>
            <w:r>
              <w:rPr>
                <w:rFonts w:hint="eastAsia" w:ascii="宋体" w:hAnsi="宋体" w:cs="宋体"/>
                <w:color w:val="000000"/>
                <w:kern w:val="0"/>
                <w:szCs w:val="21"/>
              </w:rPr>
              <w:t>服务对象满意度</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服务对象满意度80%以上</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服务对象满意度</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r>
    </w:tbl>
    <w:p>
      <w:pPr>
        <w:widowControl/>
        <w:spacing w:line="600" w:lineRule="exact"/>
        <w:jc w:val="center"/>
        <w:rPr>
          <w:rFonts w:hint="eastAsia" w:ascii="宋体" w:hAnsi="宋体" w:eastAsia="方正小标宋简体" w:cs="宋体"/>
          <w:color w:val="000000"/>
          <w:kern w:val="0"/>
          <w:sz w:val="44"/>
          <w:szCs w:val="44"/>
        </w:rPr>
      </w:pPr>
    </w:p>
    <w:p>
      <w:pPr>
        <w:rPr>
          <w:rFonts w:ascii="宋体" w:hAnsi="宋体"/>
        </w:rPr>
      </w:pPr>
    </w:p>
    <w:p/>
    <w:p/>
    <w:p/>
    <w:p/>
    <w:p/>
    <w:p/>
    <w:p/>
    <w:p/>
    <w:p/>
    <w:p/>
    <w:p/>
    <w:p/>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2</w:t>
      </w:r>
      <w:r>
        <w:rPr>
          <w:rFonts w:hint="eastAsia" w:ascii="宋体" w:hAnsi="宋体" w:eastAsia="方正小标宋简体" w:cs="宋体"/>
          <w:color w:val="000000"/>
          <w:kern w:val="0"/>
          <w:sz w:val="44"/>
          <w:szCs w:val="44"/>
        </w:rPr>
        <w:t>年学前教育经费专项资金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314" w:tblpY="1101"/>
        <w:tblOverlap w:val="never"/>
        <w:tblW w:w="9863" w:type="dxa"/>
        <w:tblInd w:w="0" w:type="dxa"/>
        <w:tblLayout w:type="fixed"/>
        <w:tblCellMar>
          <w:top w:w="15" w:type="dxa"/>
          <w:left w:w="108" w:type="dxa"/>
          <w:bottom w:w="15" w:type="dxa"/>
          <w:right w:w="108" w:type="dxa"/>
        </w:tblCellMar>
      </w:tblPr>
      <w:tblGrid>
        <w:gridCol w:w="847"/>
        <w:gridCol w:w="759"/>
        <w:gridCol w:w="821"/>
        <w:gridCol w:w="1563"/>
        <w:gridCol w:w="584"/>
        <w:gridCol w:w="1706"/>
        <w:gridCol w:w="2194"/>
        <w:gridCol w:w="679"/>
        <w:gridCol w:w="710"/>
      </w:tblGrid>
      <w:tr>
        <w:tblPrEx>
          <w:tblCellMar>
            <w:top w:w="15" w:type="dxa"/>
            <w:left w:w="108" w:type="dxa"/>
            <w:bottom w:w="15" w:type="dxa"/>
            <w:right w:w="108" w:type="dxa"/>
          </w:tblCellMar>
        </w:tblPrEx>
        <w:trPr>
          <w:trHeight w:val="448" w:hRule="atLeast"/>
        </w:trPr>
        <w:tc>
          <w:tcPr>
            <w:tcW w:w="16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825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学前教育经费专项</w:t>
            </w:r>
          </w:p>
        </w:tc>
      </w:tr>
      <w:tr>
        <w:tblPrEx>
          <w:tblCellMar>
            <w:top w:w="15" w:type="dxa"/>
            <w:left w:w="108" w:type="dxa"/>
            <w:bottom w:w="15" w:type="dxa"/>
            <w:right w:w="108" w:type="dxa"/>
          </w:tblCellMar>
        </w:tblPrEx>
        <w:trPr>
          <w:trHeight w:val="448" w:hRule="atLeast"/>
        </w:trPr>
        <w:tc>
          <w:tcPr>
            <w:tcW w:w="16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825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天心区教育局</w:t>
            </w:r>
          </w:p>
        </w:tc>
      </w:tr>
      <w:tr>
        <w:tblPrEx>
          <w:tblCellMar>
            <w:top w:w="15" w:type="dxa"/>
            <w:left w:w="108" w:type="dxa"/>
            <w:bottom w:w="15" w:type="dxa"/>
            <w:right w:w="108" w:type="dxa"/>
          </w:tblCellMar>
        </w:tblPrEx>
        <w:trPr>
          <w:trHeight w:val="449" w:hRule="atLeast"/>
        </w:trPr>
        <w:tc>
          <w:tcPr>
            <w:tcW w:w="16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825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1910.7万元</w:t>
            </w:r>
          </w:p>
        </w:tc>
      </w:tr>
      <w:tr>
        <w:tblPrEx>
          <w:tblCellMar>
            <w:top w:w="15" w:type="dxa"/>
            <w:left w:w="108" w:type="dxa"/>
            <w:bottom w:w="15" w:type="dxa"/>
            <w:right w:w="108" w:type="dxa"/>
          </w:tblCellMar>
        </w:tblPrEx>
        <w:trPr>
          <w:trHeight w:val="1396" w:hRule="atLeast"/>
        </w:trPr>
        <w:tc>
          <w:tcPr>
            <w:tcW w:w="1606"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8257"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持续推进学前教育改革发展，着力解决“入公办园难、入民办园贵”等问题，确保幼有所育。</w:t>
            </w:r>
          </w:p>
        </w:tc>
      </w:tr>
      <w:tr>
        <w:tblPrEx>
          <w:tblCellMar>
            <w:top w:w="15" w:type="dxa"/>
            <w:left w:w="108" w:type="dxa"/>
            <w:bottom w:w="15" w:type="dxa"/>
            <w:right w:w="108" w:type="dxa"/>
          </w:tblCellMar>
        </w:tblPrEx>
        <w:trPr>
          <w:trHeight w:val="890" w:hRule="atLeast"/>
        </w:trPr>
        <w:tc>
          <w:tcPr>
            <w:tcW w:w="847" w:type="dxa"/>
            <w:vMerge w:val="restart"/>
            <w:tcBorders>
              <w:top w:val="single" w:color="auto" w:sz="4" w:space="0"/>
              <w:left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521" w:hRule="atLeast"/>
        </w:trPr>
        <w:tc>
          <w:tcPr>
            <w:tcW w:w="847" w:type="dxa"/>
            <w:vMerge w:val="continue"/>
            <w:tcBorders>
              <w:left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质量指标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根据政策要求对幼儿园及普惠性进行补助。</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按质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根据政策要求对幼儿园及普惠性进行补助。</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根据政策要求对幼儿园及普惠性进行补助。</w:t>
            </w:r>
          </w:p>
        </w:tc>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按质</w:t>
            </w: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lang w:eastAsia="zh-CN"/>
              </w:rPr>
              <w:t>定性</w:t>
            </w:r>
          </w:p>
        </w:tc>
      </w:tr>
      <w:tr>
        <w:tblPrEx>
          <w:tblCellMar>
            <w:top w:w="15" w:type="dxa"/>
            <w:left w:w="108" w:type="dxa"/>
            <w:bottom w:w="15" w:type="dxa"/>
            <w:right w:w="108" w:type="dxa"/>
          </w:tblCellMar>
        </w:tblPrEx>
        <w:trPr>
          <w:trHeight w:val="2778" w:hRule="atLeast"/>
        </w:trPr>
        <w:tc>
          <w:tcPr>
            <w:tcW w:w="847" w:type="dxa"/>
            <w:vMerge w:val="continue"/>
            <w:tcBorders>
              <w:left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数量指标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p>
            <w:pPr>
              <w:widowControl/>
              <w:spacing w:line="240" w:lineRule="exact"/>
              <w:jc w:val="both"/>
              <w:rPr>
                <w:rFonts w:ascii="宋体" w:hAnsi="宋体" w:cs="宋体"/>
                <w:color w:val="000000"/>
                <w:kern w:val="0"/>
                <w:szCs w:val="21"/>
              </w:rPr>
            </w:pPr>
            <w:r>
              <w:rPr>
                <w:rFonts w:hint="eastAsia" w:ascii="宋体" w:hAnsi="宋体" w:cs="宋体"/>
                <w:color w:val="000000"/>
                <w:kern w:val="0"/>
                <w:szCs w:val="21"/>
              </w:rPr>
              <w:t>困难幼儿补助500元/期/人,免费课程资源40元/人，普惠性幼儿园补助按文件标准执行。</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按标准</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困难幼儿补助500元/期/人,免费课程资源40元/人，普惠性幼儿园补助按文件标准执行。</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宋体" w:hAnsi="宋体" w:cs="宋体"/>
                <w:color w:val="000000"/>
                <w:kern w:val="0"/>
                <w:szCs w:val="21"/>
              </w:rPr>
            </w:pPr>
            <w:r>
              <w:rPr>
                <w:rFonts w:hint="eastAsia" w:ascii="宋体" w:hAnsi="宋体" w:cs="宋体"/>
                <w:color w:val="000000"/>
                <w:kern w:val="0"/>
                <w:szCs w:val="21"/>
              </w:rPr>
              <w:t>困难幼儿补助500元/期/人,免费课程资源40元/人，普惠性幼儿园补助按文件标准执行。</w:t>
            </w:r>
          </w:p>
        </w:tc>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按合同</w:t>
            </w: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lang w:eastAsia="zh-CN"/>
              </w:rPr>
              <w:t>定性</w:t>
            </w:r>
          </w:p>
        </w:tc>
      </w:tr>
      <w:tr>
        <w:tblPrEx>
          <w:tblCellMar>
            <w:top w:w="15" w:type="dxa"/>
            <w:left w:w="108" w:type="dxa"/>
            <w:bottom w:w="15" w:type="dxa"/>
            <w:right w:w="108" w:type="dxa"/>
          </w:tblCellMar>
        </w:tblPrEx>
        <w:trPr>
          <w:trHeight w:val="2627" w:hRule="atLeast"/>
        </w:trPr>
        <w:tc>
          <w:tcPr>
            <w:tcW w:w="84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社会效益指标</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引导和支持民办公办幼儿园提供给大众的普惠性服务，缓解群众幼儿就学难，学费贵的压力。</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按质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引导和支持民办公办幼儿园提供给大众的普惠性服务，缓解群众幼儿就学难，学费贵的压力。</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引导和支持民办公办幼儿园提供给大众的普惠性服务，缓解群众幼儿就学难，学费贵的压力。</w:t>
            </w:r>
          </w:p>
        </w:tc>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按质</w:t>
            </w: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lang w:eastAsia="zh-CN"/>
              </w:rPr>
              <w:t>定性</w:t>
            </w:r>
          </w:p>
        </w:tc>
      </w:tr>
    </w:tbl>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tabs>
          <w:tab w:val="left" w:pos="665"/>
        </w:tabs>
        <w:bidi w:val="0"/>
        <w:jc w:val="left"/>
        <w:rPr>
          <w:rFonts w:hint="eastAsia"/>
          <w:lang w:val="en-US" w:eastAsia="zh-CN"/>
        </w:rPr>
      </w:pPr>
      <w:r>
        <w:rPr>
          <w:rFonts w:hint="eastAsia"/>
          <w:lang w:val="en-US" w:eastAsia="zh-CN"/>
        </w:rPr>
        <w:tab/>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auto"/>
          <w:kern w:val="0"/>
          <w:sz w:val="44"/>
          <w:szCs w:val="44"/>
        </w:rPr>
        <w:t>2</w:t>
      </w:r>
      <w:r>
        <w:rPr>
          <w:rFonts w:hint="eastAsia" w:ascii="宋体" w:hAnsi="宋体" w:eastAsia="方正小标宋简体" w:cs="宋体"/>
          <w:color w:val="000000"/>
          <w:kern w:val="0"/>
          <w:sz w:val="44"/>
          <w:szCs w:val="44"/>
        </w:rPr>
        <w:t>02</w:t>
      </w:r>
      <w:r>
        <w:rPr>
          <w:rFonts w:hint="eastAsia" w:ascii="宋体" w:hAnsi="宋体" w:eastAsia="方正小标宋简体" w:cs="宋体"/>
          <w:color w:val="000000"/>
          <w:kern w:val="0"/>
          <w:sz w:val="44"/>
          <w:szCs w:val="44"/>
          <w:lang w:val="en-US" w:eastAsia="zh-CN"/>
        </w:rPr>
        <w:t>2</w:t>
      </w:r>
      <w:r>
        <w:rPr>
          <w:rFonts w:hint="eastAsia" w:ascii="宋体" w:hAnsi="宋体" w:eastAsia="方正小标宋简体" w:cs="宋体"/>
          <w:color w:val="000000"/>
          <w:kern w:val="0"/>
          <w:sz w:val="44"/>
          <w:szCs w:val="44"/>
        </w:rPr>
        <w:t>年居家养老和养老机构建设运营补贴专项资金绩效目标表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342"/>
        <w:gridCol w:w="1580"/>
        <w:gridCol w:w="1450"/>
        <w:gridCol w:w="1283"/>
        <w:gridCol w:w="597"/>
        <w:gridCol w:w="616"/>
      </w:tblGrid>
      <w:tr>
        <w:tblPrEx>
          <w:tblCellMar>
            <w:top w:w="15" w:type="dxa"/>
            <w:left w:w="108" w:type="dxa"/>
            <w:bottom w:w="15" w:type="dxa"/>
            <w:right w:w="108" w:type="dxa"/>
          </w:tblCellMar>
        </w:tblPrEx>
        <w:trPr>
          <w:trHeight w:val="493"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居家养老和养老机构建设运营补贴专项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天心区民政局</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500万元</w:t>
            </w:r>
          </w:p>
        </w:tc>
      </w:tr>
      <w:tr>
        <w:tblPrEx>
          <w:tblCellMar>
            <w:top w:w="15" w:type="dxa"/>
            <w:left w:w="108" w:type="dxa"/>
            <w:bottom w:w="15" w:type="dxa"/>
            <w:right w:w="108" w:type="dxa"/>
          </w:tblCellMar>
        </w:tblPrEx>
        <w:trPr>
          <w:trHeight w:val="1199"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对我区户籍的困难老年人实施基本养老服务补贴，服务补贴以购买服务的方式实施。对养老机构、日间照料中心进行建设、运行补贴与监督管理。</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81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时效指标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按季度发放</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按季度发放</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用以反映和考核项目产出时效情况未按时发放每次扣1分</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按季度发放</w:t>
            </w:r>
          </w:p>
        </w:tc>
        <w:tc>
          <w:tcPr>
            <w:tcW w:w="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季</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238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数量指标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建设数，发放数</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建设10个养老服务设施、20户家庭床位、10个社区食堂、发放240名养老护理员补贴</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用以反映和考核项目产出数量情况</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每少建设一个扣0.5分，养老护理员补贴未按政策发放每次扣1分</w:t>
            </w:r>
          </w:p>
        </w:tc>
        <w:tc>
          <w:tcPr>
            <w:tcW w:w="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个</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1680"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社会效益指标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解决低保、低收入、失能半失能高龄失独老人生活困难</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效果良好</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用以反映和考核项目产出效益情况</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每降低一个等次扣2分</w:t>
            </w:r>
          </w:p>
        </w:tc>
        <w:tc>
          <w:tcPr>
            <w:tcW w:w="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144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服务对象满意度指标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21"/>
                <w:szCs w:val="21"/>
                <w:u w:val="none"/>
                <w:lang w:val="en-US" w:eastAsia="zh-CN" w:bidi="ar"/>
              </w:rPr>
              <w:t>满意度</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90</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用以反映和考核项目产出满意度情况</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满意度未达到90%，每下降1%扣1分</w:t>
            </w:r>
          </w:p>
        </w:tc>
        <w:tc>
          <w:tcPr>
            <w:tcW w:w="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百分比</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r>
    </w:tbl>
    <w:p/>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2</w:t>
      </w:r>
      <w:r>
        <w:rPr>
          <w:rFonts w:hint="eastAsia" w:ascii="宋体" w:hAnsi="宋体" w:eastAsia="方正小标宋简体" w:cs="宋体"/>
          <w:color w:val="000000"/>
          <w:kern w:val="0"/>
          <w:sz w:val="44"/>
          <w:szCs w:val="44"/>
        </w:rPr>
        <w:t>年城市园林绿化维护资金专项资金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342"/>
        <w:gridCol w:w="726"/>
        <w:gridCol w:w="1468"/>
        <w:gridCol w:w="1990"/>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城市园林绿化维护资金专项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天心区园林绿化维护中心</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2090.91万元</w:t>
            </w:r>
          </w:p>
        </w:tc>
      </w:tr>
      <w:tr>
        <w:tblPrEx>
          <w:tblCellMar>
            <w:top w:w="15" w:type="dxa"/>
            <w:left w:w="108" w:type="dxa"/>
            <w:bottom w:w="15" w:type="dxa"/>
            <w:right w:w="108" w:type="dxa"/>
          </w:tblCellMar>
        </w:tblPrEx>
        <w:trPr>
          <w:trHeight w:val="1391"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对辖区内城市绿化进行有计划的展开维护管理，保持街道绿地完整的景观效果。 苗木绩效总体目标：1、严格苗木栽植流程，减少苗木栽植死亡率，成活控制率在95%以上。  2、完善采购、供货、验收流程，确保苗木供应数、质量。  3、完善各种台账，确保有据可查。</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286"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质量指标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苗木存活率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85</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反映日常补栽补种、解决黄土裸露等问题的情况</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酌情计分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r>
      <w:tr>
        <w:tblPrEx>
          <w:tblCellMar>
            <w:top w:w="15" w:type="dxa"/>
            <w:left w:w="108" w:type="dxa"/>
            <w:bottom w:w="15" w:type="dxa"/>
            <w:right w:w="108" w:type="dxa"/>
          </w:tblCellMar>
        </w:tblPrEx>
        <w:trPr>
          <w:trHeight w:val="1537"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数量指标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园林绿化维护面积</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约515.44万平方米</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224"/>
              </w:tabs>
              <w:spacing w:line="240" w:lineRule="exact"/>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ab/>
              <w:t>反映维护面积的情况</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酌情计分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平方米</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1622"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经济成本指标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预算安排资金</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年度预算2090.91万元</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≤2090.91万元</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按预算项目编制的范围，无新增业务，无新增维护面积，≤2090.91万元，得满分，酌情计分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万元</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r>
      <w:tr>
        <w:tblPrEx>
          <w:tblCellMar>
            <w:top w:w="15" w:type="dxa"/>
            <w:left w:w="108" w:type="dxa"/>
            <w:bottom w:w="15" w:type="dxa"/>
            <w:right w:w="108" w:type="dxa"/>
          </w:tblCellMar>
        </w:tblPrEx>
        <w:trPr>
          <w:trHeight w:val="140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生态效益指标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提升城市绿化覆盖率，改善环境气候条件，净化空气质量</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效果良好</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反映园林绿化给城市带来的生态效益情况</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效果良好、效果一般、没有效果</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r>
      <w:tr>
        <w:tblPrEx>
          <w:tblCellMar>
            <w:top w:w="15" w:type="dxa"/>
            <w:left w:w="108" w:type="dxa"/>
            <w:bottom w:w="15" w:type="dxa"/>
            <w:right w:w="108" w:type="dxa"/>
          </w:tblCellMar>
        </w:tblPrEx>
        <w:trPr>
          <w:trHeight w:val="1393"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服务对象满意度指标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spacing w:val="-6"/>
                <w:kern w:val="0"/>
                <w:szCs w:val="21"/>
              </w:rPr>
            </w:pPr>
            <w:r>
              <w:rPr>
                <w:rFonts w:hint="eastAsia" w:ascii="宋体" w:hAnsi="宋体" w:cs="宋体"/>
                <w:color w:val="000000"/>
                <w:kern w:val="0"/>
                <w:szCs w:val="21"/>
              </w:rPr>
              <w:t>社会公众的满意度</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85</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反映社会公众对园林绿化的满意度</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85%以上，得满分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bl>
    <w:p>
      <w:pPr>
        <w:widowControl/>
        <w:spacing w:line="600" w:lineRule="exact"/>
        <w:jc w:val="center"/>
        <w:rPr>
          <w:rFonts w:hint="eastAsia" w:ascii="宋体" w:hAnsi="宋体" w:eastAsia="方正小标宋简体" w:cs="宋体"/>
          <w:color w:val="000000"/>
          <w:kern w:val="0"/>
          <w:sz w:val="44"/>
          <w:szCs w:val="44"/>
          <w:lang w:val="en-US" w:eastAsia="zh-CN"/>
        </w:rPr>
      </w:pPr>
    </w:p>
    <w:p>
      <w:pPr>
        <w:bidi w:val="0"/>
        <w:rPr>
          <w:rFonts w:hint="eastAsia" w:ascii="Times New Roman" w:hAnsi="Times New Roman" w:eastAsia="宋体" w:cs="Times New Roman"/>
          <w:kern w:val="2"/>
          <w:sz w:val="21"/>
          <w:szCs w:val="24"/>
          <w:lang w:val="en-US" w:eastAsia="zh-CN" w:bidi="ar-SA"/>
        </w:rPr>
      </w:pP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auto"/>
          <w:kern w:val="0"/>
          <w:sz w:val="44"/>
          <w:szCs w:val="44"/>
        </w:rPr>
        <w:t>2</w:t>
      </w:r>
      <w:r>
        <w:rPr>
          <w:rFonts w:hint="eastAsia" w:ascii="宋体" w:hAnsi="宋体" w:eastAsia="方正小标宋简体" w:cs="宋体"/>
          <w:color w:val="000000"/>
          <w:kern w:val="0"/>
          <w:sz w:val="44"/>
          <w:szCs w:val="44"/>
        </w:rPr>
        <w:t>02</w:t>
      </w:r>
      <w:r>
        <w:rPr>
          <w:rFonts w:hint="eastAsia" w:ascii="宋体" w:hAnsi="宋体" w:eastAsia="方正小标宋简体" w:cs="宋体"/>
          <w:color w:val="000000"/>
          <w:kern w:val="0"/>
          <w:sz w:val="44"/>
          <w:szCs w:val="44"/>
          <w:lang w:val="en-US" w:eastAsia="zh-CN"/>
        </w:rPr>
        <w:t>2</w:t>
      </w:r>
      <w:r>
        <w:rPr>
          <w:rFonts w:hint="eastAsia" w:ascii="宋体" w:hAnsi="宋体" w:eastAsia="方正小标宋简体" w:cs="宋体"/>
          <w:color w:val="000000"/>
          <w:kern w:val="0"/>
          <w:sz w:val="44"/>
          <w:szCs w:val="44"/>
        </w:rPr>
        <w:t>年健康民生专项资金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725"/>
        <w:gridCol w:w="950"/>
        <w:gridCol w:w="1000"/>
        <w:gridCol w:w="1698"/>
        <w:gridCol w:w="1990"/>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健康民生专项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天心区妇幼保健所</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742.4万元</w:t>
            </w:r>
          </w:p>
        </w:tc>
      </w:tr>
      <w:tr>
        <w:tblPrEx>
          <w:tblCellMar>
            <w:top w:w="15" w:type="dxa"/>
            <w:left w:w="108" w:type="dxa"/>
            <w:bottom w:w="15" w:type="dxa"/>
            <w:right w:w="108" w:type="dxa"/>
          </w:tblCellMar>
        </w:tblPrEx>
        <w:trPr>
          <w:trHeight w:val="1465"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符合条件的对象免费接受检测服务，且各级政府更加重视出生缺陷预防工作，相关部门密切配 合，建立“政府主导、部门合作、专家支撑、群众参与”的工作机制，出生缺陷发生风险逐步降低，出生人口素质逐步提高，妇女两癌发生率逐步降低，妇女生殖健康水平逐年提升。</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370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质量指标</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免费筛查</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免费筛查</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免费筛查</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每位孕妇免费接受一次无创产前基因检测项目，每位新生儿免费接受一次耳聋基因检测、新生儿疾病筛查，每位适龄妇女免费接受一次两癌筛查，符合条件的孕妇接受一次免费产前筛查。</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2341"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数量指标</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完成筛查任务</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100</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无创产前基因检测8000人、耳聋基因、新生儿疾病筛查、免费产前筛查任务目标8000人，两癌筛查10000人</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完成筛查任务</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r>
      <w:tr>
        <w:tblPrEx>
          <w:tblCellMar>
            <w:top w:w="15" w:type="dxa"/>
            <w:left w:w="108" w:type="dxa"/>
            <w:bottom w:w="15" w:type="dxa"/>
            <w:right w:w="108" w:type="dxa"/>
          </w:tblCellMar>
        </w:tblPrEx>
        <w:trPr>
          <w:trHeight w:val="1265"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经济成本指标</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结算标准</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符合市里统一标准</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按照市里统一价格和标准进行结算</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按照市里统一价格和标准进行结算</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254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社会效益指标</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降低出生缺陷率，提高人口素质</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效果良好</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降低出生缺陷率，提高人口素质，对适龄妇女两癌做到早检测，早发现、早治疗，提高家庭幸福指数</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降低出生缺陷率，提高人口素质</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2803"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经济效益指标</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21"/>
                <w:szCs w:val="21"/>
                <w:u w:val="none"/>
                <w:lang w:val="en-US" w:eastAsia="zh-CN" w:bidi="ar"/>
              </w:rPr>
              <w:t>减少医疗成本</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效果良好</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对符合生育政策、计划怀孕夫妇免费检查达到预防为主，避免出生缺陷，通过疾病筛查减少出生缺陷，减少各家庭医疗成本</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减少医疗成本</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bl>
    <w:p>
      <w:pPr>
        <w:widowControl/>
        <w:spacing w:line="600" w:lineRule="exact"/>
        <w:jc w:val="center"/>
        <w:rPr>
          <w:rFonts w:hint="eastAsia" w:ascii="宋体" w:hAnsi="宋体" w:eastAsia="方正小标宋简体" w:cs="宋体"/>
          <w:color w:val="000000"/>
          <w:kern w:val="0"/>
          <w:sz w:val="44"/>
          <w:szCs w:val="44"/>
        </w:rPr>
      </w:pPr>
    </w:p>
    <w:p>
      <w:pPr>
        <w:rPr>
          <w:rFonts w:ascii="宋体" w:hAnsi="宋体"/>
        </w:rPr>
      </w:pPr>
    </w:p>
    <w:p/>
    <w:p/>
    <w:p/>
    <w:p/>
    <w:p/>
    <w:p/>
    <w:p/>
    <w:p/>
    <w:p/>
    <w:p/>
    <w:p/>
    <w:p/>
    <w:p/>
    <w:p/>
    <w:p/>
    <w:p/>
    <w:p/>
    <w:p/>
    <w:p/>
    <w:p/>
    <w:p/>
    <w:p/>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2</w:t>
      </w:r>
      <w:r>
        <w:rPr>
          <w:rFonts w:hint="eastAsia" w:ascii="宋体" w:hAnsi="宋体" w:eastAsia="方正小标宋简体" w:cs="宋体"/>
          <w:color w:val="000000"/>
          <w:kern w:val="0"/>
          <w:sz w:val="44"/>
          <w:szCs w:val="44"/>
        </w:rPr>
        <w:t>年站厕维护专项资金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072"/>
        <w:gridCol w:w="733"/>
        <w:gridCol w:w="2383"/>
        <w:gridCol w:w="1338"/>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站厕维护专项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天心区市容环境卫生维护中心</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1142.41万元</w:t>
            </w:r>
          </w:p>
        </w:tc>
      </w:tr>
      <w:tr>
        <w:tblPrEx>
          <w:tblCellMar>
            <w:top w:w="15" w:type="dxa"/>
            <w:left w:w="108" w:type="dxa"/>
            <w:bottom w:w="15" w:type="dxa"/>
            <w:right w:w="108" w:type="dxa"/>
          </w:tblCellMar>
        </w:tblPrEx>
        <w:trPr>
          <w:trHeight w:val="2262"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确保133座公共卫生间标识标牌、设施设备完好无破损，周边及室内洁净整齐无堆物，地面、墙面、窗台、蹲坑、座盆、小便池裙、小便池台无污物、便迹、尿垢、无明显牛皮癣、蛛网、无白色垃圾、无明显积灰；127座公共垃圾站标识标牌、设施设备完好无破损、无障碍，周边及室内洁净整齐无堆物，站内无明显牛皮癣、蛛网、箱体无明显污物、起落架无明显积灰、坑内无大量积存污水、无明显垃圾、地面、墙面及窗台无明显积灰、垃圾清运及时，无爆棚现象。</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6543"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质量指标</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公共厕所和公共垃圾站度管理和维护质量</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符合考核办法规定</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公共卫生间标识标牌、设施设备完好无破损，周边及室内洁净整齐无堆物，地面、墙面、窗台、蹲坑、座盆、小便池裙、小便池台无污物、便迹、尿垢、无明显牛皮癣、蛛网、无白色垃圾、无明显积灰；130座公共垃圾站标识标牌、设施设备完好无破损、无障碍，周边及室内洁净整齐无堆物，站内无明显牛皮癣、蛛网、箱体无明显污物、起落架无明显积灰、坑内无大量积存污水、无明显垃圾、地面、墙面及窗台无明显积灰、垃圾清运及时，无爆棚现象。</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天心区市容环境卫生维护中心精细化维护作业绩效考核办法，酌情计分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284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数量指标</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公共厕所和公共垃圾站度管理和维护数</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260</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全区127座公共垃圾站、133座公共厕所管理和日常维护</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天心区市容环境卫生维护中心精细化维护作业绩效考核办法，每减少一座扣0.1分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座</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r>
      <w:tr>
        <w:tblPrEx>
          <w:tblCellMar>
            <w:top w:w="15" w:type="dxa"/>
            <w:left w:w="108" w:type="dxa"/>
            <w:bottom w:w="15" w:type="dxa"/>
            <w:right w:w="108" w:type="dxa"/>
          </w:tblCellMar>
        </w:tblPrEx>
        <w:trPr>
          <w:trHeight w:val="141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生态效益指标</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提高公共厕所和公共垃圾站清洁净度为广大市民创造优美的生活环境</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效果良好</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用以反映服务对象对站厕维护管理和日常维护的满意度</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用以反映服务对象对站厕维护管理和日常维护的满意度</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144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成本指标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经济成本指标</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21"/>
                <w:szCs w:val="21"/>
                <w:u w:val="none"/>
                <w:lang w:val="en-US" w:eastAsia="zh-CN" w:bidi="ar"/>
              </w:rPr>
              <w:t>严格按照预算资金安排保障工作</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不超过1142.41</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严格按照预算资金安排保障工作</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无新增业务量或政策性调资的情况下不超过预算不扣分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万元</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144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服务对象满意度指标</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21"/>
                <w:szCs w:val="21"/>
                <w:u w:val="none"/>
                <w:lang w:val="en-US" w:eastAsia="zh-CN" w:bidi="ar"/>
              </w:rPr>
              <w:t>社会满意度</w:t>
            </w:r>
          </w:p>
        </w:tc>
        <w:tc>
          <w:tcPr>
            <w:tcW w:w="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75</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用以反映服务对象对站厕维护管理和日常维护的满意度</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达到75%不扣分，酌情计分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r>
    </w:tbl>
    <w:p>
      <w:pPr>
        <w:widowControl/>
        <w:spacing w:line="600" w:lineRule="exact"/>
        <w:jc w:val="center"/>
        <w:rPr>
          <w:rFonts w:hint="eastAsia" w:ascii="宋体" w:hAnsi="宋体" w:eastAsia="方正小标宋简体" w:cs="宋体"/>
          <w:color w:val="000000"/>
          <w:kern w:val="0"/>
          <w:sz w:val="44"/>
          <w:szCs w:val="44"/>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auto"/>
          <w:kern w:val="0"/>
          <w:sz w:val="44"/>
          <w:szCs w:val="44"/>
        </w:rPr>
        <w:t>2</w:t>
      </w:r>
      <w:r>
        <w:rPr>
          <w:rFonts w:hint="eastAsia" w:ascii="宋体" w:hAnsi="宋体" w:eastAsia="方正小标宋简体" w:cs="宋体"/>
          <w:color w:val="000000"/>
          <w:kern w:val="0"/>
          <w:sz w:val="44"/>
          <w:szCs w:val="44"/>
        </w:rPr>
        <w:t>02</w:t>
      </w:r>
      <w:r>
        <w:rPr>
          <w:rFonts w:hint="eastAsia" w:ascii="宋体" w:hAnsi="宋体" w:eastAsia="方正小标宋简体" w:cs="宋体"/>
          <w:color w:val="000000"/>
          <w:kern w:val="0"/>
          <w:sz w:val="44"/>
          <w:szCs w:val="44"/>
          <w:lang w:val="en-US" w:eastAsia="zh-CN"/>
        </w:rPr>
        <w:t>2</w:t>
      </w:r>
      <w:r>
        <w:rPr>
          <w:rFonts w:hint="eastAsia" w:ascii="宋体" w:hAnsi="宋体" w:eastAsia="方正小标宋简体" w:cs="宋体"/>
          <w:color w:val="000000"/>
          <w:kern w:val="0"/>
          <w:sz w:val="44"/>
          <w:szCs w:val="44"/>
        </w:rPr>
        <w:t>年餐厨垃圾收运全覆盖专项资金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342"/>
        <w:gridCol w:w="726"/>
        <w:gridCol w:w="1468"/>
        <w:gridCol w:w="1990"/>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餐厨垃圾收运全覆盖专项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天心区城市管理和综合执法局</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804万元</w:t>
            </w:r>
          </w:p>
        </w:tc>
      </w:tr>
      <w:tr>
        <w:tblPrEx>
          <w:tblCellMar>
            <w:top w:w="15" w:type="dxa"/>
            <w:left w:w="108" w:type="dxa"/>
            <w:bottom w:w="15" w:type="dxa"/>
            <w:right w:w="108" w:type="dxa"/>
          </w:tblCellMar>
        </w:tblPrEx>
        <w:trPr>
          <w:trHeight w:val="1551"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实现餐厨垃圾有序收集，减少环境污染，实现市容美观，维持社会可持续发展，实现小散门店餐厨垃圾全收运</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39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质量指标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验收合格率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100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餐厨垃圾收运工作验收合格率</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合格率100%得满分，每降低1%扣0.1分。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1835"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数量指标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小散餐厨收集率</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100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实现餐厨垃圾有序收集</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小散餐厨收集率每低一个百分点扣1分，扣满10分为止。</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1823"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生态效益指标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集中收集点环境卫生整洁</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是</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考核餐厨垃圾清运产生的效益</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集中收集点周围环境干净整洁，无积存餐厨垃圾得满分，否则酌情扣分。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次</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1873"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服务对象满意度指标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21"/>
                <w:szCs w:val="21"/>
                <w:u w:val="none"/>
                <w:lang w:val="en-US" w:eastAsia="zh-CN" w:bidi="ar"/>
              </w:rPr>
              <w:t>市民满意度</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80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市民对餐厨垃圾收运满意度情况</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满意度小于80%酌情扣分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r>
    </w:tbl>
    <w:p>
      <w:pPr>
        <w:widowControl/>
        <w:spacing w:line="600" w:lineRule="exact"/>
        <w:jc w:val="center"/>
        <w:rPr>
          <w:rFonts w:hint="eastAsia" w:ascii="宋体" w:hAnsi="宋体" w:eastAsia="方正小标宋简体" w:cs="宋体"/>
          <w:color w:val="000000"/>
          <w:kern w:val="0"/>
          <w:sz w:val="44"/>
          <w:szCs w:val="44"/>
        </w:rPr>
      </w:pPr>
    </w:p>
    <w:p>
      <w:pPr>
        <w:rPr>
          <w:rFonts w:ascii="宋体" w:hAnsi="宋体"/>
        </w:rPr>
      </w:pP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2</w:t>
      </w:r>
      <w:r>
        <w:rPr>
          <w:rFonts w:hint="eastAsia" w:ascii="宋体" w:hAnsi="宋体" w:eastAsia="方正小标宋简体" w:cs="宋体"/>
          <w:color w:val="000000"/>
          <w:kern w:val="0"/>
          <w:sz w:val="44"/>
          <w:szCs w:val="44"/>
        </w:rPr>
        <w:t>年道路维护专项资金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272"/>
        <w:gridCol w:w="1233"/>
        <w:gridCol w:w="1917"/>
        <w:gridCol w:w="1104"/>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道路维护专项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天心区市政设施维护中心</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633.22万元</w:t>
            </w:r>
          </w:p>
        </w:tc>
      </w:tr>
      <w:tr>
        <w:tblPrEx>
          <w:tblCellMar>
            <w:top w:w="15" w:type="dxa"/>
            <w:left w:w="108" w:type="dxa"/>
            <w:bottom w:w="15" w:type="dxa"/>
            <w:right w:w="108" w:type="dxa"/>
          </w:tblCellMar>
        </w:tblPrEx>
        <w:trPr>
          <w:trHeight w:val="1489"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负责区域内市政设施的安全、品质运行情况、日常巡查、问题交办、督办和登记备案。</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132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时效指标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处置数字化信息</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一周内</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及时处置数字化信息平台工作任务。</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未及时处置酌情扣分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周</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141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质量指标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沥青道路维护保养质量达标率</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100</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沥青路面维护保养质量达标率达到100%。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质量不达标酌情扣分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141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kern w:val="0"/>
                <w:sz w:val="21"/>
                <w:szCs w:val="21"/>
                <w:u w:val="none"/>
                <w:lang w:val="en-US" w:eastAsia="zh-CN" w:bidi="ar"/>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数量指标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全区沥青道路维护保养工作</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712</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全区沥青路面维护保养工作处置。</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处置不到位酌情扣分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条</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2475"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社会效益指标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全面提升中心道路维护保障水平，保障市民出行安全。</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全面提升中心道路维护保障水平，保障市民出行安全。</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全面提升中心道路维护保障水平，保障市民出行安全。</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全面提升中心道路维护保障水平，保障市民出行安全。</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无</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1730"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服务对象满意度指标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21"/>
                <w:szCs w:val="21"/>
                <w:u w:val="none"/>
                <w:lang w:val="en-US" w:eastAsia="zh-CN" w:bidi="ar"/>
              </w:rPr>
              <w:t>群众满意度</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85</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群众满意度85%。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达到标准不扣分，未达到酌情扣分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2174"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成本指标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经济成本指标</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21"/>
                <w:szCs w:val="21"/>
                <w:u w:val="none"/>
                <w:lang w:val="en-US" w:eastAsia="zh-CN" w:bidi="ar"/>
              </w:rPr>
              <w:t>全区712条主次干道、支路、支巷的维护管理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≤6332200</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全区712条主次干道、支路、支巷的维护管理经费开支情况不超过6332200元。</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超过预算指标酌情扣分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元</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bl>
    <w:p>
      <w:pPr>
        <w:widowControl/>
        <w:spacing w:line="600" w:lineRule="exact"/>
        <w:jc w:val="center"/>
        <w:rPr>
          <w:rFonts w:hint="eastAsia" w:ascii="宋体" w:hAnsi="宋体" w:eastAsia="方正小标宋简体" w:cs="宋体"/>
          <w:color w:val="000000"/>
          <w:kern w:val="0"/>
          <w:sz w:val="44"/>
          <w:szCs w:val="44"/>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bidi w:val="0"/>
        <w:ind w:firstLine="354" w:firstLineChars="0"/>
        <w:jc w:val="left"/>
        <w:rPr>
          <w:rFonts w:hint="eastAsia"/>
          <w:lang w:val="en-US" w:eastAsia="zh-CN"/>
        </w:rPr>
      </w:pP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2</w:t>
      </w:r>
      <w:r>
        <w:rPr>
          <w:rFonts w:hint="eastAsia" w:ascii="宋体" w:hAnsi="宋体" w:eastAsia="方正小标宋简体" w:cs="宋体"/>
          <w:color w:val="000000"/>
          <w:kern w:val="0"/>
          <w:sz w:val="44"/>
          <w:szCs w:val="44"/>
        </w:rPr>
        <w:t>年残疾人就业保障金-康复支出</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专项资金绩效目标表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672"/>
        <w:gridCol w:w="916"/>
        <w:gridCol w:w="1617"/>
        <w:gridCol w:w="1321"/>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残疾人就业保障金-康复支出专项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天心区残疾人联合会</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490万元</w:t>
            </w:r>
          </w:p>
        </w:tc>
      </w:tr>
      <w:tr>
        <w:tblPrEx>
          <w:tblCellMar>
            <w:top w:w="15" w:type="dxa"/>
            <w:left w:w="108" w:type="dxa"/>
            <w:bottom w:w="15" w:type="dxa"/>
            <w:right w:w="108" w:type="dxa"/>
          </w:tblCellMar>
        </w:tblPrEx>
        <w:trPr>
          <w:trHeight w:val="1761"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一是扩大康复服务范围，实施好光明关爱、辅助器具适配、0-14岁残疾儿童少年康复救助等重点康复工程。完成好省、市重点康复项目工作；二是加大社区康复服务</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317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质量指标</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实施好光明关爱、辅助器具适配、0-14岁残疾儿童少年康复救助等重点康复工程。保障康复救助工作按时、按量、按质落实到位</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应保尽保</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实施好光明关爱、辅助器具适配、0-14岁残疾儿童少年康复救助等重点康复工程。保障康复救助工作按时、按量、按质落实到位</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工作按时、按量、按质落实到位</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应保尽保</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1488"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时效指标</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根据项目协议，及时拨付款项</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及时审批</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根据项目协议，及时拨付款项</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根据项目协议，及时拨付款项</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及时审批</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2312"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社会效益指标</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健全残疾人康复体系，满足残疾人及其家庭日益增长的康复需求</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有效开展</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健全残疾人康复体系，满足残疾人及其家庭日益增长的康复需求</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健全残疾人康复体系，满足残疾人及其家庭日益增长的康复需求</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有效开展</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定性</w:t>
            </w:r>
          </w:p>
        </w:tc>
      </w:tr>
      <w:tr>
        <w:tblPrEx>
          <w:tblCellMar>
            <w:top w:w="15" w:type="dxa"/>
            <w:left w:w="108" w:type="dxa"/>
            <w:bottom w:w="15" w:type="dxa"/>
            <w:right w:w="108" w:type="dxa"/>
          </w:tblCellMar>
        </w:tblPrEx>
        <w:trPr>
          <w:trHeight w:val="1930"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000000"/>
                <w:kern w:val="0"/>
                <w:sz w:val="21"/>
                <w:szCs w:val="21"/>
              </w:rPr>
            </w:pPr>
            <w:r>
              <w:rPr>
                <w:rFonts w:ascii="宋体" w:hAnsi="宋体" w:eastAsia="宋体" w:cs="宋体"/>
                <w:b w:val="0"/>
                <w:bCs w:val="0"/>
                <w:i w:val="0"/>
                <w:iCs w:val="0"/>
                <w:color w:val="000000"/>
                <w:kern w:val="0"/>
                <w:sz w:val="21"/>
                <w:szCs w:val="21"/>
                <w:u w:val="none"/>
                <w:lang w:val="en-US" w:eastAsia="zh-CN" w:bidi="ar"/>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服务对象满意度指标</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0-14岁残疾儿童康复训练项目服务成效</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满意度达90%</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0-14岁残疾儿童康复训练项目满意度达90%</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每低于5%扣0.1分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百分比</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3076"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000000"/>
                <w:kern w:val="0"/>
                <w:sz w:val="21"/>
                <w:szCs w:val="21"/>
              </w:rPr>
            </w:pPr>
            <w:r>
              <w:rPr>
                <w:rFonts w:ascii="宋体" w:hAnsi="宋体" w:eastAsia="宋体" w:cs="宋体"/>
                <w:b w:val="0"/>
                <w:bCs w:val="0"/>
                <w:i w:val="0"/>
                <w:iCs w:val="0"/>
                <w:color w:val="000000"/>
                <w:kern w:val="0"/>
                <w:sz w:val="21"/>
                <w:szCs w:val="21"/>
                <w:u w:val="none"/>
                <w:lang w:val="en-US" w:eastAsia="zh-CN" w:bidi="ar"/>
              </w:rPr>
              <w:t>成本指标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经济成本指标</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21"/>
                <w:szCs w:val="21"/>
                <w:u w:val="none"/>
                <w:lang w:val="en-US" w:eastAsia="zh-CN" w:bidi="ar"/>
              </w:rPr>
              <w:t>0-14岁残疾儿童康复训练完成300名</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完成300名。具体任务数依据省、市区当年文件要求</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对湖南省内残疾儿童康复训练补贴人员300名</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少一人扣0.1分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人</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bl>
    <w:p>
      <w:pPr>
        <w:widowControl/>
        <w:spacing w:line="600" w:lineRule="exact"/>
        <w:jc w:val="center"/>
        <w:rPr>
          <w:rFonts w:hint="eastAsia" w:ascii="宋体" w:hAnsi="宋体" w:eastAsia="方正小标宋简体" w:cs="宋体"/>
          <w:color w:val="000000"/>
          <w:kern w:val="0"/>
          <w:sz w:val="44"/>
          <w:szCs w:val="44"/>
        </w:rPr>
      </w:pPr>
    </w:p>
    <w:p>
      <w:pPr>
        <w:rPr>
          <w:rFonts w:ascii="宋体" w:hAnsi="宋体"/>
        </w:rPr>
      </w:pPr>
    </w:p>
    <w:p/>
    <w:p/>
    <w:p/>
    <w:p/>
    <w:p/>
    <w:p/>
    <w:p/>
    <w:p/>
    <w:p/>
    <w:p/>
    <w:p/>
    <w:p/>
    <w:p/>
    <w:p/>
    <w:p/>
    <w:p/>
    <w:p/>
    <w:p/>
    <w:p/>
    <w:p/>
    <w:p/>
    <w:p/>
    <w:p/>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202</w:t>
      </w:r>
      <w:r>
        <w:rPr>
          <w:rFonts w:hint="eastAsia" w:ascii="宋体" w:hAnsi="宋体" w:eastAsia="方正小标宋简体" w:cs="宋体"/>
          <w:color w:val="000000"/>
          <w:kern w:val="0"/>
          <w:sz w:val="44"/>
          <w:szCs w:val="44"/>
          <w:lang w:val="en-US" w:eastAsia="zh-CN"/>
        </w:rPr>
        <w:t>2</w:t>
      </w:r>
      <w:r>
        <w:rPr>
          <w:rFonts w:hint="eastAsia" w:ascii="宋体" w:hAnsi="宋体" w:eastAsia="方正小标宋简体" w:cs="宋体"/>
          <w:color w:val="000000"/>
          <w:kern w:val="0"/>
          <w:sz w:val="44"/>
          <w:szCs w:val="44"/>
        </w:rPr>
        <w:t>年城乡居民医保财政补助专项资金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绩效目标表</w:t>
      </w:r>
    </w:p>
    <w:tbl>
      <w:tblPr>
        <w:tblStyle w:val="2"/>
        <w:tblpPr w:leftFromText="180" w:rightFromText="180" w:vertAnchor="text" w:horzAnchor="page" w:tblpX="1579" w:tblpY="1101"/>
        <w:tblOverlap w:val="never"/>
        <w:tblW w:w="9347" w:type="dxa"/>
        <w:tblInd w:w="0" w:type="dxa"/>
        <w:tblLayout w:type="fixed"/>
        <w:tblCellMar>
          <w:top w:w="15" w:type="dxa"/>
          <w:left w:w="108" w:type="dxa"/>
          <w:bottom w:w="15" w:type="dxa"/>
          <w:right w:w="108" w:type="dxa"/>
        </w:tblCellMar>
      </w:tblPr>
      <w:tblGrid>
        <w:gridCol w:w="868"/>
        <w:gridCol w:w="774"/>
        <w:gridCol w:w="837"/>
        <w:gridCol w:w="1455"/>
        <w:gridCol w:w="1583"/>
        <w:gridCol w:w="1550"/>
        <w:gridCol w:w="938"/>
        <w:gridCol w:w="726"/>
        <w:gridCol w:w="616"/>
      </w:tblGrid>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专项资金</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城乡居民医保财政补助专项</w:t>
            </w:r>
          </w:p>
        </w:tc>
      </w:tr>
      <w:tr>
        <w:tblPrEx>
          <w:tblCellMar>
            <w:top w:w="15" w:type="dxa"/>
            <w:left w:w="108" w:type="dxa"/>
            <w:bottom w:w="15" w:type="dxa"/>
            <w:right w:w="108" w:type="dxa"/>
          </w:tblCellMar>
        </w:tblPrEx>
        <w:trPr>
          <w:trHeight w:val="448"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主管部门</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天心区医疗保障局</w:t>
            </w:r>
          </w:p>
        </w:tc>
      </w:tr>
      <w:tr>
        <w:tblPrEx>
          <w:tblCellMar>
            <w:top w:w="15" w:type="dxa"/>
            <w:left w:w="108" w:type="dxa"/>
            <w:bottom w:w="15" w:type="dxa"/>
            <w:right w:w="108" w:type="dxa"/>
          </w:tblCellMar>
        </w:tblPrEx>
        <w:trPr>
          <w:trHeight w:val="449" w:hRule="atLeast"/>
        </w:trPr>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资金规模</w:t>
            </w:r>
          </w:p>
        </w:tc>
        <w:tc>
          <w:tcPr>
            <w:tcW w:w="770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2220万元</w:t>
            </w:r>
          </w:p>
        </w:tc>
      </w:tr>
      <w:tr>
        <w:tblPrEx>
          <w:tblCellMar>
            <w:top w:w="15" w:type="dxa"/>
            <w:left w:w="108" w:type="dxa"/>
            <w:bottom w:w="15" w:type="dxa"/>
            <w:right w:w="108" w:type="dxa"/>
          </w:tblCellMar>
        </w:tblPrEx>
        <w:trPr>
          <w:trHeight w:val="965" w:hRule="atLeast"/>
        </w:trPr>
        <w:tc>
          <w:tcPr>
            <w:tcW w:w="164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本年度绩效目标</w:t>
            </w:r>
          </w:p>
        </w:tc>
        <w:tc>
          <w:tcPr>
            <w:tcW w:w="7705" w:type="dxa"/>
            <w:gridSpan w:val="7"/>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ascii="宋体" w:hAnsi="宋体"/>
                <w:color w:val="000000"/>
                <w:kern w:val="0"/>
                <w:szCs w:val="21"/>
              </w:rPr>
            </w:pPr>
            <w:r>
              <w:rPr>
                <w:rFonts w:hint="eastAsia" w:ascii="宋体" w:hAnsi="宋体" w:cs="宋体"/>
                <w:color w:val="000000"/>
                <w:kern w:val="0"/>
                <w:szCs w:val="21"/>
              </w:rPr>
              <w:t>对辖区内参保对像做到应保尽保</w:t>
            </w:r>
          </w:p>
        </w:tc>
      </w:tr>
      <w:tr>
        <w:tblPrEx>
          <w:tblCellMar>
            <w:top w:w="15" w:type="dxa"/>
            <w:left w:w="108" w:type="dxa"/>
            <w:bottom w:w="15" w:type="dxa"/>
            <w:right w:w="108" w:type="dxa"/>
          </w:tblCellMar>
        </w:tblPrEx>
        <w:trPr>
          <w:trHeight w:val="1023" w:hRule="atLeast"/>
        </w:trPr>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hint="eastAsia" w:ascii="宋体" w:hAnsi="宋体" w:cs="宋体"/>
                <w:color w:val="000000"/>
                <w:kern w:val="0"/>
                <w:szCs w:val="21"/>
              </w:rPr>
            </w:pPr>
            <w:r>
              <w:rPr>
                <w:rFonts w:hint="eastAsia" w:ascii="宋体" w:hAnsi="宋体" w:cs="宋体"/>
                <w:color w:val="000000"/>
                <w:kern w:val="0"/>
                <w:szCs w:val="21"/>
              </w:rPr>
              <w:t>年度绩效</w:t>
            </w:r>
          </w:p>
          <w:p>
            <w:pPr>
              <w:widowControl/>
              <w:spacing w:line="240" w:lineRule="exact"/>
              <w:ind w:left="-105" w:leftChars="-50" w:right="-105" w:rightChars="-50"/>
              <w:jc w:val="center"/>
              <w:rPr>
                <w:rFonts w:ascii="宋体" w:hAnsi="宋体" w:cs="宋体"/>
                <w:color w:val="000000"/>
                <w:kern w:val="0"/>
                <w:szCs w:val="21"/>
              </w:rPr>
            </w:pPr>
            <w:r>
              <w:rPr>
                <w:rFonts w:hint="eastAsia" w:ascii="宋体" w:hAnsi="宋体" w:cs="宋体"/>
                <w:color w:val="000000"/>
                <w:kern w:val="0"/>
                <w:szCs w:val="21"/>
              </w:rPr>
              <w:t>指标</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一级指标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指标</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三级指标</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指标值内容</w:t>
            </w:r>
            <w:bookmarkStart w:id="0" w:name="_GoBack"/>
            <w:bookmarkEnd w:id="0"/>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评（扣分标准）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度量单位</w:t>
            </w:r>
          </w:p>
        </w:tc>
        <w:tc>
          <w:tcPr>
            <w:tcW w:w="6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指标值类型</w:t>
            </w:r>
          </w:p>
        </w:tc>
      </w:tr>
      <w:tr>
        <w:tblPrEx>
          <w:tblCellMar>
            <w:top w:w="15" w:type="dxa"/>
            <w:left w:w="108" w:type="dxa"/>
            <w:bottom w:w="15" w:type="dxa"/>
            <w:right w:w="108" w:type="dxa"/>
          </w:tblCellMar>
        </w:tblPrEx>
        <w:trPr>
          <w:trHeight w:val="2381"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产出指标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社会成本指标</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应保尽保</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确保应保尽保，参保人员100%享受医疗待遇；加强监督，避免骗取医保现象</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确保应保尽保，参保人员100%享受医疗待遇；加强监督，避免骗取医保现象</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未完成年度工作，扣0.5分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个</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155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数量指标</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人均补助到位</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人均参保补助，全额补助到位</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人均参保补助，全额补助到位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未完成年度工作，扣0.5分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个</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1869"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质量指标</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足额上解和划拨相关费用，及时补助到位</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足额上解和划拨相关费用，及时补助到位</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足额上解和划拨相关费用，及时补助到位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未完成年度工作，扣0.5分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个</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1705"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时效指标</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及时补助</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按文件要求核算，百分之百补助到位</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按文件要求核算，百分之百补助到位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未完成年度工作，扣0.5分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个</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3331"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效益指标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社会效益指标</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确保辖区内参保对象休人员医保费、医保门诊费等基本医疗待遇，减轻参保人员医疗支出压力</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确保辖区内参保对象、区属困难企业退休人员医保费、医保门诊费等基本医疗待遇，减轻参保人员医疗支出压力</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确保辖区内参保对象、区属困难企业退休人员医保费、医保门诊费等基本医疗待遇，减轻参保人员医疗支出压力</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未完成年度工作，扣0.5分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个</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r>
        <w:tblPrEx>
          <w:tblCellMar>
            <w:top w:w="15" w:type="dxa"/>
            <w:left w:w="108" w:type="dxa"/>
            <w:bottom w:w="15" w:type="dxa"/>
            <w:right w:w="108" w:type="dxa"/>
          </w:tblCellMar>
        </w:tblPrEx>
        <w:trPr>
          <w:trHeight w:val="1856" w:hRule="atLeast"/>
        </w:trPr>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05" w:leftChars="-50" w:right="-105" w:rightChars="-50"/>
              <w:jc w:val="center"/>
              <w:rPr>
                <w:rFonts w:ascii="宋体" w:hAnsi="宋体" w:cs="宋体"/>
                <w:color w:val="000000"/>
                <w:kern w:val="0"/>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b/>
                <w:bCs/>
                <w:i w:val="0"/>
                <w:iCs w:val="0"/>
                <w:color w:val="000000"/>
                <w:kern w:val="0"/>
                <w:sz w:val="21"/>
                <w:szCs w:val="21"/>
                <w:u w:val="none"/>
                <w:lang w:val="en-US" w:eastAsia="zh-CN" w:bidi="ar"/>
              </w:rPr>
              <w:t>满意度指标</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服务对象满意度指标</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pacing w:val="-6"/>
                <w:kern w:val="0"/>
                <w:sz w:val="21"/>
                <w:szCs w:val="21"/>
              </w:rPr>
            </w:pPr>
            <w:r>
              <w:rPr>
                <w:rFonts w:ascii="宋体" w:hAnsi="宋体" w:eastAsia="宋体" w:cs="宋体"/>
                <w:i w:val="0"/>
                <w:iCs w:val="0"/>
                <w:color w:val="000000"/>
                <w:kern w:val="0"/>
                <w:sz w:val="21"/>
                <w:szCs w:val="21"/>
                <w:u w:val="none"/>
                <w:lang w:val="en-US" w:eastAsia="zh-CN" w:bidi="ar"/>
              </w:rPr>
              <w:t>服务对象满意度100%</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rPr>
            </w:pPr>
            <w:r>
              <w:rPr>
                <w:rFonts w:ascii="宋体" w:hAnsi="宋体" w:eastAsia="宋体" w:cs="宋体"/>
                <w:i w:val="0"/>
                <w:iCs w:val="0"/>
                <w:color w:val="000000"/>
                <w:kern w:val="0"/>
                <w:sz w:val="21"/>
                <w:szCs w:val="21"/>
                <w:u w:val="none"/>
                <w:lang w:val="en-US" w:eastAsia="zh-CN" w:bidi="ar"/>
              </w:rPr>
              <w:t>服务对象满意度100%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服务对象满意度100%</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未完成年度工作，扣0.5分</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个</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1"/>
                <w:szCs w:val="21"/>
              </w:rPr>
            </w:pPr>
            <w:r>
              <w:rPr>
                <w:rFonts w:ascii="宋体" w:hAnsi="宋体" w:eastAsia="宋体" w:cs="宋体"/>
                <w:i w:val="0"/>
                <w:iCs w:val="0"/>
                <w:color w:val="000000"/>
                <w:kern w:val="0"/>
                <w:sz w:val="21"/>
                <w:szCs w:val="21"/>
                <w:u w:val="none"/>
                <w:lang w:val="en-US" w:eastAsia="zh-CN" w:bidi="ar"/>
              </w:rPr>
              <w:t>定量</w:t>
            </w:r>
          </w:p>
        </w:tc>
      </w:tr>
    </w:tbl>
    <w:p>
      <w:pPr>
        <w:widowControl/>
        <w:spacing w:line="600" w:lineRule="exact"/>
        <w:jc w:val="center"/>
        <w:rPr>
          <w:rFonts w:hint="eastAsia" w:ascii="宋体" w:hAnsi="宋体" w:eastAsia="方正小标宋简体" w:cs="宋体"/>
          <w:color w:val="000000"/>
          <w:kern w:val="0"/>
          <w:sz w:val="44"/>
          <w:szCs w:val="44"/>
        </w:rPr>
      </w:pPr>
    </w:p>
    <w:p>
      <w:pPr>
        <w:rPr>
          <w:rFonts w:ascii="宋体" w:hAnsi="宋体"/>
        </w:rPr>
      </w:pPr>
    </w:p>
    <w:p/>
    <w:p/>
    <w:p/>
    <w:p/>
    <w:p/>
    <w:p/>
    <w:p/>
    <w:p/>
    <w:p/>
    <w:p/>
    <w:p/>
    <w:p/>
    <w:p/>
    <w:p>
      <w:pPr>
        <w:bidi w:val="0"/>
        <w:ind w:firstLine="354" w:firstLineChars="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NDUzNmIxZmMzNDhjMzQ2N2YyMzI2OGMyODE2YjQifQ=="/>
  </w:docVars>
  <w:rsids>
    <w:rsidRoot w:val="322106FF"/>
    <w:rsid w:val="08E73603"/>
    <w:rsid w:val="2BA27DEB"/>
    <w:rsid w:val="2C7C7B49"/>
    <w:rsid w:val="322106FF"/>
    <w:rsid w:val="36C3270A"/>
    <w:rsid w:val="4A3A0DB0"/>
    <w:rsid w:val="58A83214"/>
    <w:rsid w:val="63EA7336"/>
    <w:rsid w:val="6F2F6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6847</Words>
  <Characters>7333</Characters>
  <Lines>0</Lines>
  <Paragraphs>0</Paragraphs>
  <TotalTime>2</TotalTime>
  <ScaleCrop>false</ScaleCrop>
  <LinksUpToDate>false</LinksUpToDate>
  <CharactersWithSpaces>7345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2023-01-30T05:32:00Z</dcterms:created>
  <dc:creator>罗冰</dc:creator>
  <cp:lastModifiedBy>罗冰</cp:lastModifiedBy>
  <dcterms:modified xsi:type="dcterms:W3CDTF">2023-01-30T08:50:26Z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F7A3C48C0181492BB2FEAB27A2C67B5F</vt:lpwstr>
  </property>
</Properties>
</file>