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Style w:val="17"/>
          <w:rFonts w:hint="default"/>
        </w:rPr>
      </w:pPr>
      <w:r>
        <w:rPr>
          <w:rStyle w:val="17"/>
          <w:rFonts w:hint="default"/>
        </w:rPr>
        <w:t>关于天心区“三公”经费支出情况的说明</w:t>
      </w: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全区行政事业单位一般公共预算拨款“三公”经费实际支出465万元，比预算数减少362万元。其中：公务接待费28万元，比预算数减少150万元；公务用车购置及运行维护费437万元（其中，公务用车购置费107万元，公务用车运行维护费330万元），比预算数减少174万元；因公出国（境）费0万元，比预算数减少38万元。2021年“三公”经费下降的主要原因是深入贯彻落实中央关于“厉行节约 反对浪费”的指示精神，牢固树立过“紧日子”思想，从严控制“三公”经费，反对铺张浪费，确保只减不增。</w:t>
      </w: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Style w:val="17"/>
          <w:rFonts w:hint="default"/>
        </w:rPr>
      </w:pPr>
      <w:r>
        <w:rPr>
          <w:rStyle w:val="17"/>
          <w:rFonts w:hint="default"/>
        </w:rPr>
        <w:t>关于举借政府债务情况的说明</w:t>
      </w:r>
    </w:p>
    <w:p>
      <w:pPr>
        <w:spacing w:line="580" w:lineRule="exact"/>
        <w:ind w:firstLine="880" w:firstLineChars="200"/>
        <w:rPr>
          <w:rStyle w:val="17"/>
          <w:rFonts w:hint="default"/>
        </w:rPr>
      </w:pP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（一）</w:t>
      </w:r>
      <w:r>
        <w:rPr>
          <w:rFonts w:eastAsia="楷体_GB2312"/>
          <w:b/>
          <w:color w:val="000000"/>
          <w:sz w:val="32"/>
          <w:szCs w:val="32"/>
        </w:rPr>
        <w:t>地方政府债务限额余额情况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，全区政府债务总限额530200万元（新增债务限额94800万元），其中一般债务限额321100万元，专项债务限额209100万元。截止2021年底，地方政府债务余额529583万元，其中一般债务余额320483万元，专项债务余额209100万元。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（二）</w:t>
      </w:r>
      <w:r>
        <w:rPr>
          <w:rFonts w:eastAsia="楷体_GB2312"/>
          <w:b/>
          <w:color w:val="000000"/>
          <w:sz w:val="32"/>
          <w:szCs w:val="32"/>
        </w:rPr>
        <w:t>地方政府债券发行情况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年，省转贷新增债务限额</w:t>
      </w:r>
      <w:r>
        <w:rPr>
          <w:rFonts w:hint="eastAsia" w:eastAsia="仿宋_GB2312"/>
          <w:sz w:val="32"/>
          <w:szCs w:val="32"/>
        </w:rPr>
        <w:t>94800万元</w:t>
      </w:r>
      <w:r>
        <w:rPr>
          <w:rFonts w:eastAsia="仿宋_GB2312"/>
          <w:sz w:val="32"/>
          <w:szCs w:val="32"/>
        </w:rPr>
        <w:t>，其中一般债务限额</w:t>
      </w:r>
      <w:r>
        <w:rPr>
          <w:rFonts w:hint="eastAsia" w:eastAsia="仿宋_GB2312"/>
          <w:sz w:val="32"/>
          <w:szCs w:val="32"/>
        </w:rPr>
        <w:t>19800万元</w:t>
      </w:r>
      <w:r>
        <w:rPr>
          <w:rFonts w:eastAsia="仿宋_GB2312"/>
          <w:sz w:val="32"/>
          <w:szCs w:val="32"/>
        </w:rPr>
        <w:t>，专项债务限额</w:t>
      </w:r>
      <w:r>
        <w:rPr>
          <w:rFonts w:hint="eastAsia" w:eastAsia="仿宋_GB2312"/>
          <w:sz w:val="32"/>
          <w:szCs w:val="32"/>
        </w:rPr>
        <w:t>75000万元。再加上用于到期债券还本的再融资债券6754万元，共计101554万元，平均利率3.2%，平均期限11.3年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（三）</w:t>
      </w:r>
      <w:r>
        <w:rPr>
          <w:rFonts w:eastAsia="楷体_GB2312"/>
          <w:b/>
          <w:color w:val="000000"/>
          <w:sz w:val="32"/>
          <w:szCs w:val="32"/>
        </w:rPr>
        <w:t>地方政府债务还本付息情况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年偿还地方政府债券本金</w:t>
      </w:r>
      <w:r>
        <w:rPr>
          <w:rFonts w:hint="eastAsia" w:eastAsia="仿宋_GB2312"/>
          <w:sz w:val="32"/>
          <w:szCs w:val="32"/>
        </w:rPr>
        <w:t>6755万元</w:t>
      </w:r>
      <w:r>
        <w:rPr>
          <w:rFonts w:eastAsia="仿宋_GB2312"/>
          <w:sz w:val="32"/>
          <w:szCs w:val="32"/>
        </w:rPr>
        <w:t>，其中一般债券</w:t>
      </w:r>
      <w:r>
        <w:rPr>
          <w:rFonts w:hint="eastAsia" w:eastAsia="仿宋_GB2312"/>
          <w:sz w:val="32"/>
          <w:szCs w:val="32"/>
        </w:rPr>
        <w:t>6755万元</w:t>
      </w:r>
      <w:r>
        <w:rPr>
          <w:rFonts w:eastAsia="仿宋_GB2312"/>
          <w:sz w:val="32"/>
          <w:szCs w:val="32"/>
        </w:rPr>
        <w:t>，专项</w:t>
      </w:r>
      <w:r>
        <w:rPr>
          <w:rFonts w:hint="eastAsia" w:eastAsia="仿宋_GB2312"/>
          <w:sz w:val="32"/>
          <w:szCs w:val="32"/>
        </w:rPr>
        <w:t>债券0万元；</w:t>
      </w:r>
      <w:r>
        <w:rPr>
          <w:rFonts w:eastAsia="仿宋_GB2312"/>
          <w:sz w:val="32"/>
          <w:szCs w:val="32"/>
        </w:rPr>
        <w:t>支付地方政府债券利息</w:t>
      </w:r>
      <w:r>
        <w:rPr>
          <w:rFonts w:hint="eastAsia" w:eastAsia="仿宋_GB2312"/>
          <w:sz w:val="32"/>
          <w:szCs w:val="32"/>
        </w:rPr>
        <w:t>15511万元</w:t>
      </w:r>
      <w:r>
        <w:rPr>
          <w:rFonts w:eastAsia="仿宋_GB2312"/>
          <w:sz w:val="32"/>
          <w:szCs w:val="32"/>
        </w:rPr>
        <w:t>，其中一般债券利息</w:t>
      </w:r>
      <w:r>
        <w:rPr>
          <w:rFonts w:hint="eastAsia" w:eastAsia="仿宋_GB2312"/>
          <w:sz w:val="32"/>
          <w:szCs w:val="32"/>
        </w:rPr>
        <w:t>10244万元</w:t>
      </w:r>
      <w:r>
        <w:rPr>
          <w:rFonts w:eastAsia="仿宋_GB2312"/>
          <w:sz w:val="32"/>
          <w:szCs w:val="32"/>
        </w:rPr>
        <w:t>，专项债券利息</w:t>
      </w:r>
      <w:r>
        <w:rPr>
          <w:rFonts w:hint="eastAsia" w:eastAsia="仿宋_GB2312"/>
          <w:sz w:val="32"/>
          <w:szCs w:val="32"/>
        </w:rPr>
        <w:t>5267万元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Style w:val="17"/>
          <w:rFonts w:hint="default"/>
        </w:rPr>
      </w:pPr>
      <w:r>
        <w:rPr>
          <w:rStyle w:val="17"/>
          <w:rFonts w:hint="default"/>
        </w:rPr>
        <w:t>关于转移支付安排情况的说明</w:t>
      </w:r>
    </w:p>
    <w:p>
      <w:pPr>
        <w:spacing w:line="580" w:lineRule="exact"/>
        <w:ind w:firstLine="643" w:firstLineChars="200"/>
        <w:rPr>
          <w:rFonts w:hint="eastAsia" w:eastAsia="楷体_GB2312"/>
          <w:b/>
          <w:color w:val="000000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（一）一般公共预算转移支付情况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1、上级税收返还和转移支付收入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2021年我区上级补助收入共计211753万元，增长16.2%。一是返还性收入77609万元，同比下降2.5%；二是一般性转移支付收入41370万元，同比增长30.9%；三是专项转移支付收入92774万元，同比增长30.6%。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2、对下级税收返还和转移支付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天心区对街道均按部门预算单位进行管理，天心区无对下级税收返还和转移支付。</w:t>
      </w:r>
    </w:p>
    <w:p>
      <w:pPr>
        <w:spacing w:line="580" w:lineRule="exact"/>
        <w:ind w:firstLine="643" w:firstLineChars="200"/>
        <w:rPr>
          <w:rFonts w:hint="eastAsia"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（二）政府性基金预算转移支付情况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1、上级转移支付收入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2021年我区政府性基金上级补助收入58519万元，同比下降52.9%。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2、对下级转移支付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天心区对街道均按部门预算单位进行管理，天心区无对下级转移支付。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（三）国有资本经营预算转移支付情况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1、上级转移支付收入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2021年我区国有资本经营上级补助收入876万元，同比增长406.4%。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2、对下级转移支付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天心区对街道均按部门预算单位进行管理，天心区无对下级转移支付。</w:t>
      </w: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7"/>
          <w:rFonts w:hint="default"/>
        </w:rPr>
      </w:pPr>
      <w:r>
        <w:rPr>
          <w:rStyle w:val="17"/>
          <w:rFonts w:hint="eastAsia" w:eastAsia="方正小标宋_GBK"/>
          <w:lang w:val="en-US" w:eastAsia="zh-CN"/>
        </w:rPr>
        <w:t>关于</w:t>
      </w:r>
      <w:r>
        <w:rPr>
          <w:rStyle w:val="17"/>
          <w:rFonts w:hint="default"/>
        </w:rPr>
        <w:t>202</w:t>
      </w:r>
      <w:r>
        <w:rPr>
          <w:rStyle w:val="17"/>
          <w:rFonts w:hint="eastAsia" w:eastAsia="方正小标宋_GBK"/>
          <w:lang w:val="en-US" w:eastAsia="zh-CN"/>
        </w:rPr>
        <w:t>1</w:t>
      </w:r>
      <w:r>
        <w:rPr>
          <w:rStyle w:val="17"/>
          <w:rFonts w:hint="default"/>
        </w:rPr>
        <w:t>年度预算绩效管理工作情况</w:t>
      </w:r>
      <w:r>
        <w:rPr>
          <w:rStyle w:val="17"/>
          <w:rFonts w:hint="eastAsia" w:eastAsia="方正小标宋_GBK"/>
          <w:lang w:val="en-US" w:eastAsia="zh-CN"/>
        </w:rPr>
        <w:t>的</w:t>
      </w:r>
      <w:r>
        <w:rPr>
          <w:rStyle w:val="17"/>
          <w:rFonts w:hint="default"/>
        </w:rPr>
        <w:t>说明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天心财政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认真贯彻落实中央和省市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关于全面实施预算绩效管理的决策部署，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不断健全</w:t>
      </w:r>
      <w:r>
        <w:rPr>
          <w:rFonts w:hint="eastAsia" w:ascii="仿宋_GB2312" w:hAnsi="仿宋_GB2312" w:eastAsia="仿宋_GB2312" w:cs="仿宋_GB2312"/>
          <w:sz w:val="32"/>
          <w:szCs w:val="32"/>
        </w:rPr>
        <w:t>全方位、全过程、全覆盖的预算绩效管理体系，始终突出绩效理念，做到预算绩效管理工作既全面推进，又重点突出。我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2021年度市县财政部门预算绩效管理工作考核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评比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荣获“优秀”称号，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受到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湖南省财政厅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通报表扬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一是强化预算绩效目标管理。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预算绩效管理科牵头，各业务科室共同参与，按照业务线初审，预算绩效管理科与第三方中介联合复审的模式，于“二下”期间，审核预算单位部门整体支出绩效目标和项目支出绩效目标，按“初审、反馈、复审”的方式，狠抓绩效目标的编报质量，打好了预算绩效管理工作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二是突出绩效自评和绩效运行监控重点。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部门整体支出与项目支出绩效自评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落实“两个全部”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预算单位全部开展绩效自评、评价范围覆盖全部财政资金。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绩效运行监控涵盖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所有专项资金，监控覆盖率继续保持100%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同时聚焦预算金额50万元以上、上年结转资金较多、当年新增预算项目，重点监控其绩效目标实现程度和预算资金执行进度。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三是拓展重点绩效评价范围。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精心挑选26个项目总计评价资金7.73亿元开展财政重点绩效评价，评价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项目较上一年度增加1个，评价资金增长13.68%，涵盖了区委区政府高度重视、公众普遍关注的重大政策、重大投资项目、重点民生项目和重点关注部门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，评价类型由专项资金、部门整体支出进一步拓展至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政府债券、重大政策和重点项目、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政府购买服务、</w:t>
      </w:r>
      <w:r>
        <w:rPr>
          <w:rFonts w:hint="eastAsia" w:ascii="仿宋_GB2312" w:hAnsi="仿宋_GB2312" w:eastAsia="仿宋_GB2312" w:cs="仿宋_GB2312"/>
          <w:sz w:val="32"/>
          <w:szCs w:val="32"/>
        </w:rPr>
        <w:t>事前绩效评估及政策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。从绩效评价结果来看，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重点绩效评价结果评为“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个，评为“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良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个，评为“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较差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大部分纳入重点绩效评价范围的项目评价结果良好，资金使用较合理，产出效益明显，公众满意度较高，较好地完成了项目预期目标。</w:t>
      </w:r>
    </w:p>
    <w:p>
      <w:pPr>
        <w:rPr>
          <w:rFonts w:hint="eastAsia" w:eastAsia="宋体"/>
          <w:lang w:val="en-US" w:eastAsia="zh-CN"/>
        </w:rPr>
      </w:pPr>
    </w:p>
    <w:p/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D5FE2C-82AC-4C6A-A421-6EDCD62E8D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DC96782-8066-4589-BCE4-8C803D03667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E1A638A-7BCA-4AFB-B3C3-C2F87BFB9B9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5987F4A-4E9D-4437-8511-E8864DBBFE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360"/>
      <w:jc w:val="right"/>
      <w:rPr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0" w:firstLineChars="100"/>
      <w:rPr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OGRmM2Y3NjgxZjE3NGMxYjEyMzcxZTgwNTY2NDIifQ=="/>
  </w:docVars>
  <w:rsids>
    <w:rsidRoot w:val="00172A27"/>
    <w:rsid w:val="00025999"/>
    <w:rsid w:val="00034614"/>
    <w:rsid w:val="000355B0"/>
    <w:rsid w:val="00037C7A"/>
    <w:rsid w:val="00045A0E"/>
    <w:rsid w:val="000764C6"/>
    <w:rsid w:val="00080C74"/>
    <w:rsid w:val="00083A25"/>
    <w:rsid w:val="000862FE"/>
    <w:rsid w:val="000B0731"/>
    <w:rsid w:val="000C4AE2"/>
    <w:rsid w:val="000D2101"/>
    <w:rsid w:val="001113AC"/>
    <w:rsid w:val="0012347C"/>
    <w:rsid w:val="0014543A"/>
    <w:rsid w:val="00153303"/>
    <w:rsid w:val="00153671"/>
    <w:rsid w:val="00156070"/>
    <w:rsid w:val="001633B3"/>
    <w:rsid w:val="001704F9"/>
    <w:rsid w:val="00184FD5"/>
    <w:rsid w:val="00191B1C"/>
    <w:rsid w:val="001F6F2F"/>
    <w:rsid w:val="002001EF"/>
    <w:rsid w:val="002056CB"/>
    <w:rsid w:val="00206441"/>
    <w:rsid w:val="00227E50"/>
    <w:rsid w:val="0023102B"/>
    <w:rsid w:val="0025266A"/>
    <w:rsid w:val="002761CD"/>
    <w:rsid w:val="00281AD1"/>
    <w:rsid w:val="002862C6"/>
    <w:rsid w:val="00290F4B"/>
    <w:rsid w:val="002A7F19"/>
    <w:rsid w:val="002B4443"/>
    <w:rsid w:val="002C01D1"/>
    <w:rsid w:val="002C5597"/>
    <w:rsid w:val="002D1202"/>
    <w:rsid w:val="002D551A"/>
    <w:rsid w:val="002E1A68"/>
    <w:rsid w:val="00303E00"/>
    <w:rsid w:val="00312A76"/>
    <w:rsid w:val="003240D5"/>
    <w:rsid w:val="00327295"/>
    <w:rsid w:val="0038054D"/>
    <w:rsid w:val="003A4E5C"/>
    <w:rsid w:val="003A55F2"/>
    <w:rsid w:val="003B2281"/>
    <w:rsid w:val="003E2F6B"/>
    <w:rsid w:val="003F38A7"/>
    <w:rsid w:val="003F7E05"/>
    <w:rsid w:val="00401B08"/>
    <w:rsid w:val="00414F0B"/>
    <w:rsid w:val="00415234"/>
    <w:rsid w:val="00422E20"/>
    <w:rsid w:val="00423E64"/>
    <w:rsid w:val="00434DA1"/>
    <w:rsid w:val="00435E7B"/>
    <w:rsid w:val="00440598"/>
    <w:rsid w:val="00441747"/>
    <w:rsid w:val="00445950"/>
    <w:rsid w:val="00455312"/>
    <w:rsid w:val="004631A1"/>
    <w:rsid w:val="0047515C"/>
    <w:rsid w:val="00480EB5"/>
    <w:rsid w:val="0048488C"/>
    <w:rsid w:val="004858E8"/>
    <w:rsid w:val="004952E3"/>
    <w:rsid w:val="004A1A20"/>
    <w:rsid w:val="004A37E9"/>
    <w:rsid w:val="004B238D"/>
    <w:rsid w:val="004B3198"/>
    <w:rsid w:val="004C0683"/>
    <w:rsid w:val="004C3294"/>
    <w:rsid w:val="004E3CE4"/>
    <w:rsid w:val="0050030D"/>
    <w:rsid w:val="00506544"/>
    <w:rsid w:val="005107DF"/>
    <w:rsid w:val="005348A1"/>
    <w:rsid w:val="00537B20"/>
    <w:rsid w:val="00557A83"/>
    <w:rsid w:val="00566F57"/>
    <w:rsid w:val="00572188"/>
    <w:rsid w:val="005966E3"/>
    <w:rsid w:val="005A456D"/>
    <w:rsid w:val="005B0123"/>
    <w:rsid w:val="005B0DD0"/>
    <w:rsid w:val="005B4B5B"/>
    <w:rsid w:val="005C4EB2"/>
    <w:rsid w:val="005C7CCA"/>
    <w:rsid w:val="005E6554"/>
    <w:rsid w:val="005F299D"/>
    <w:rsid w:val="00601325"/>
    <w:rsid w:val="0062001D"/>
    <w:rsid w:val="00630977"/>
    <w:rsid w:val="00647632"/>
    <w:rsid w:val="006527A6"/>
    <w:rsid w:val="00660982"/>
    <w:rsid w:val="00661128"/>
    <w:rsid w:val="00666A5F"/>
    <w:rsid w:val="00681BFA"/>
    <w:rsid w:val="00684947"/>
    <w:rsid w:val="006A426B"/>
    <w:rsid w:val="006D24EA"/>
    <w:rsid w:val="006D5BC6"/>
    <w:rsid w:val="006E300C"/>
    <w:rsid w:val="006F7A67"/>
    <w:rsid w:val="007039FE"/>
    <w:rsid w:val="007112FA"/>
    <w:rsid w:val="0072410D"/>
    <w:rsid w:val="00724687"/>
    <w:rsid w:val="00736FA5"/>
    <w:rsid w:val="00755F55"/>
    <w:rsid w:val="00781723"/>
    <w:rsid w:val="007940F2"/>
    <w:rsid w:val="007A0CB2"/>
    <w:rsid w:val="007A66D7"/>
    <w:rsid w:val="007B4CD3"/>
    <w:rsid w:val="007B6779"/>
    <w:rsid w:val="007C6FB3"/>
    <w:rsid w:val="007D1EAD"/>
    <w:rsid w:val="007E0B1A"/>
    <w:rsid w:val="00800793"/>
    <w:rsid w:val="0080797E"/>
    <w:rsid w:val="008267AF"/>
    <w:rsid w:val="00833870"/>
    <w:rsid w:val="0085520B"/>
    <w:rsid w:val="00855D45"/>
    <w:rsid w:val="00874AD9"/>
    <w:rsid w:val="00883BAF"/>
    <w:rsid w:val="00897FF8"/>
    <w:rsid w:val="008E53CD"/>
    <w:rsid w:val="008F6D2A"/>
    <w:rsid w:val="00912994"/>
    <w:rsid w:val="00915E3F"/>
    <w:rsid w:val="00932625"/>
    <w:rsid w:val="00933D20"/>
    <w:rsid w:val="00937FC5"/>
    <w:rsid w:val="009452EC"/>
    <w:rsid w:val="009468DE"/>
    <w:rsid w:val="00951A29"/>
    <w:rsid w:val="00954C45"/>
    <w:rsid w:val="00954D7D"/>
    <w:rsid w:val="0096242C"/>
    <w:rsid w:val="009735F8"/>
    <w:rsid w:val="0099598E"/>
    <w:rsid w:val="00995D80"/>
    <w:rsid w:val="009B7356"/>
    <w:rsid w:val="009B7871"/>
    <w:rsid w:val="009C4EDA"/>
    <w:rsid w:val="009C5A0D"/>
    <w:rsid w:val="009E3B2A"/>
    <w:rsid w:val="009F6081"/>
    <w:rsid w:val="009F6A25"/>
    <w:rsid w:val="00A01A6E"/>
    <w:rsid w:val="00A02EC6"/>
    <w:rsid w:val="00A04F10"/>
    <w:rsid w:val="00A05EFE"/>
    <w:rsid w:val="00A133D1"/>
    <w:rsid w:val="00A16970"/>
    <w:rsid w:val="00A16EB9"/>
    <w:rsid w:val="00A211B1"/>
    <w:rsid w:val="00A2502B"/>
    <w:rsid w:val="00A25E3A"/>
    <w:rsid w:val="00A261A8"/>
    <w:rsid w:val="00A62A93"/>
    <w:rsid w:val="00A735D7"/>
    <w:rsid w:val="00A73AD9"/>
    <w:rsid w:val="00A767AF"/>
    <w:rsid w:val="00A76E89"/>
    <w:rsid w:val="00A867F1"/>
    <w:rsid w:val="00A90A98"/>
    <w:rsid w:val="00A94758"/>
    <w:rsid w:val="00AA099B"/>
    <w:rsid w:val="00AB249A"/>
    <w:rsid w:val="00AC4379"/>
    <w:rsid w:val="00AC59AF"/>
    <w:rsid w:val="00AD2E80"/>
    <w:rsid w:val="00AD3986"/>
    <w:rsid w:val="00AF59D2"/>
    <w:rsid w:val="00AF662B"/>
    <w:rsid w:val="00B0191D"/>
    <w:rsid w:val="00B03190"/>
    <w:rsid w:val="00B173EA"/>
    <w:rsid w:val="00B25D29"/>
    <w:rsid w:val="00B63868"/>
    <w:rsid w:val="00B902EA"/>
    <w:rsid w:val="00B91E4E"/>
    <w:rsid w:val="00BA0CC5"/>
    <w:rsid w:val="00BA35FF"/>
    <w:rsid w:val="00BA49A5"/>
    <w:rsid w:val="00BA7DD4"/>
    <w:rsid w:val="00BB0096"/>
    <w:rsid w:val="00BB48AC"/>
    <w:rsid w:val="00BD1A7A"/>
    <w:rsid w:val="00BF2E39"/>
    <w:rsid w:val="00C057E1"/>
    <w:rsid w:val="00C3101A"/>
    <w:rsid w:val="00C43136"/>
    <w:rsid w:val="00C45712"/>
    <w:rsid w:val="00C461B1"/>
    <w:rsid w:val="00C502E6"/>
    <w:rsid w:val="00C55402"/>
    <w:rsid w:val="00C84E1B"/>
    <w:rsid w:val="00CA00AA"/>
    <w:rsid w:val="00CA62DF"/>
    <w:rsid w:val="00CB1E1C"/>
    <w:rsid w:val="00CD305F"/>
    <w:rsid w:val="00CD3962"/>
    <w:rsid w:val="00CD5B2D"/>
    <w:rsid w:val="00CF14F8"/>
    <w:rsid w:val="00D06994"/>
    <w:rsid w:val="00D472E6"/>
    <w:rsid w:val="00D50818"/>
    <w:rsid w:val="00D51002"/>
    <w:rsid w:val="00D54532"/>
    <w:rsid w:val="00D6000D"/>
    <w:rsid w:val="00D60A3C"/>
    <w:rsid w:val="00D6241C"/>
    <w:rsid w:val="00D62827"/>
    <w:rsid w:val="00D6336E"/>
    <w:rsid w:val="00D64B55"/>
    <w:rsid w:val="00D65319"/>
    <w:rsid w:val="00D73707"/>
    <w:rsid w:val="00D75BAA"/>
    <w:rsid w:val="00D75C8F"/>
    <w:rsid w:val="00D83031"/>
    <w:rsid w:val="00D85671"/>
    <w:rsid w:val="00DA1AE3"/>
    <w:rsid w:val="00DB5B2B"/>
    <w:rsid w:val="00DD61CF"/>
    <w:rsid w:val="00DE2ACC"/>
    <w:rsid w:val="00DF3218"/>
    <w:rsid w:val="00DF6AC9"/>
    <w:rsid w:val="00E12FB9"/>
    <w:rsid w:val="00E33A41"/>
    <w:rsid w:val="00E40D8D"/>
    <w:rsid w:val="00E42685"/>
    <w:rsid w:val="00E6144F"/>
    <w:rsid w:val="00E752E5"/>
    <w:rsid w:val="00E8260A"/>
    <w:rsid w:val="00E83486"/>
    <w:rsid w:val="00EA217D"/>
    <w:rsid w:val="00EA4692"/>
    <w:rsid w:val="00EC0BFA"/>
    <w:rsid w:val="00EC552C"/>
    <w:rsid w:val="00EC55E6"/>
    <w:rsid w:val="00ED0A8C"/>
    <w:rsid w:val="00EE25B9"/>
    <w:rsid w:val="00F00837"/>
    <w:rsid w:val="00F06CDC"/>
    <w:rsid w:val="00F10AC1"/>
    <w:rsid w:val="00F15BE4"/>
    <w:rsid w:val="00F24A6F"/>
    <w:rsid w:val="00F54679"/>
    <w:rsid w:val="00F66B76"/>
    <w:rsid w:val="00F72E34"/>
    <w:rsid w:val="00F73DBC"/>
    <w:rsid w:val="00F90582"/>
    <w:rsid w:val="00FA6159"/>
    <w:rsid w:val="00FB0CAC"/>
    <w:rsid w:val="00FC06EE"/>
    <w:rsid w:val="00FC18E5"/>
    <w:rsid w:val="00FC623E"/>
    <w:rsid w:val="00FC6E95"/>
    <w:rsid w:val="00FD372B"/>
    <w:rsid w:val="4147672C"/>
    <w:rsid w:val="698E13BC"/>
    <w:rsid w:val="7A503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 w:afterLines="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11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6"/>
    <w:uiPriority w:val="99"/>
    <w:rPr>
      <w:kern w:val="2"/>
      <w:sz w:val="18"/>
      <w:szCs w:val="18"/>
    </w:rPr>
  </w:style>
  <w:style w:type="paragraph" w:customStyle="1" w:styleId="14">
    <w:name w:val="表格内容"/>
    <w:basedOn w:val="2"/>
    <w:uiPriority w:val="0"/>
    <w:pPr>
      <w:suppressLineNumbers/>
      <w:suppressAutoHyphens/>
      <w:jc w:val="left"/>
    </w:pPr>
    <w:rPr>
      <w:rFonts w:cs="Tahoma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7">
    <w:name w:val="fontstyle01"/>
    <w:uiPriority w:val="0"/>
    <w:rPr>
      <w:rFonts w:hint="eastAsia" w:ascii="方正小标宋_GBK" w:eastAsia="方正小标宋_GBK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1615</Words>
  <Characters>1806</Characters>
  <Lines>7</Lines>
  <Paragraphs>2</Paragraphs>
  <TotalTime>2</TotalTime>
  <ScaleCrop>false</ScaleCrop>
  <LinksUpToDate>false</LinksUpToDate>
  <CharactersWithSpaces>1807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2021-09-16T01:25:00Z</dcterms:created>
  <dc:creator>Administrator</dc:creator>
  <cp:lastModifiedBy>zy</cp:lastModifiedBy>
  <cp:lastPrinted>2021-05-16T11:47:00Z</cp:lastPrinted>
  <dcterms:modified xsi:type="dcterms:W3CDTF">2022-11-22T01:46:21Z</dcterms:modified>
  <dc:title>湖南省财政厅发文（指标、函）稿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6E225FEE19F7498A95CDB5240EF77F14</vt:lpwstr>
  </property>
</Properties>
</file>