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Style w:val="17"/>
          <w:rFonts w:hint="default"/>
        </w:rPr>
      </w:pPr>
      <w:r>
        <w:rPr>
          <w:rStyle w:val="17"/>
          <w:rFonts w:hint="default"/>
        </w:rPr>
        <w:t>关于天心区“三公”经费支出情况的说明</w:t>
      </w: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2022年全区行政事业单位一般公共预算拨款“三公”经费实际支出509万元，比预算数减少293万元。其中：公务接待费16万元，比预算数减少131万元；公务用车购置及运行维护费493万元（其中：公务用车购置费84万元，公务用车运行维护费409万元），比预算数减少124万元；因公出国（境）费0万元，比预算数减少38万元。2022年“三公”经费下降的主要原因是深入贯彻落实中央关于“厉行节约 反对浪费”的指示精神，牢固树立过“紧日子”思想，从严控制“三公”经费，反对铺张浪费，确保只减不增。</w:t>
      </w: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pStyle w:val="2"/>
        <w:rPr>
          <w:rFonts w:hint="eastAsia" w:eastAsia="黑体"/>
          <w:color w:val="000000"/>
          <w:sz w:val="32"/>
          <w:szCs w:val="32"/>
        </w:rPr>
      </w:pPr>
    </w:p>
    <w:p>
      <w:pPr>
        <w:pStyle w:val="2"/>
        <w:rPr>
          <w:rFonts w:hint="eastAsia" w:eastAsia="黑体"/>
          <w:color w:val="000000"/>
          <w:sz w:val="32"/>
          <w:szCs w:val="32"/>
        </w:rPr>
      </w:pPr>
    </w:p>
    <w:p>
      <w:pPr>
        <w:pStyle w:val="2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jc w:val="center"/>
        <w:rPr>
          <w:rStyle w:val="17"/>
          <w:rFonts w:hint="default"/>
        </w:rPr>
      </w:pPr>
      <w:r>
        <w:rPr>
          <w:rStyle w:val="17"/>
          <w:rFonts w:hint="default"/>
        </w:rPr>
        <w:t>关于举借政府债务情况的说明</w:t>
      </w:r>
    </w:p>
    <w:p>
      <w:pPr>
        <w:spacing w:line="580" w:lineRule="exact"/>
        <w:ind w:firstLine="880" w:firstLineChars="200"/>
        <w:rPr>
          <w:rStyle w:val="17"/>
          <w:rFonts w:hint="default"/>
        </w:rPr>
      </w:pPr>
    </w:p>
    <w:p>
      <w:pPr>
        <w:spacing w:line="580" w:lineRule="exact"/>
        <w:ind w:firstLine="643" w:firstLineChars="200"/>
        <w:rPr>
          <w:rFonts w:eastAsia="楷体_GB2312"/>
          <w:b/>
          <w:color w:val="000000"/>
          <w:sz w:val="32"/>
          <w:szCs w:val="32"/>
        </w:rPr>
      </w:pPr>
      <w:r>
        <w:rPr>
          <w:rFonts w:hint="eastAsia" w:eastAsia="楷体_GB2312"/>
          <w:b/>
          <w:color w:val="000000"/>
          <w:sz w:val="32"/>
          <w:szCs w:val="32"/>
        </w:rPr>
        <w:t>（一）</w:t>
      </w:r>
      <w:r>
        <w:rPr>
          <w:rFonts w:eastAsia="楷体_GB2312"/>
          <w:b/>
          <w:color w:val="000000"/>
          <w:sz w:val="32"/>
          <w:szCs w:val="32"/>
        </w:rPr>
        <w:t>地方政府债务限额余额情况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</w:rPr>
        <w:t>年，全区政府债务总限额</w:t>
      </w:r>
      <w:r>
        <w:rPr>
          <w:rFonts w:hint="eastAsia" w:eastAsia="仿宋_GB2312"/>
          <w:sz w:val="32"/>
          <w:szCs w:val="32"/>
          <w:lang w:val="en-US" w:eastAsia="zh-CN"/>
        </w:rPr>
        <w:t>57330</w:t>
      </w:r>
      <w:r>
        <w:rPr>
          <w:rFonts w:hint="eastAsia" w:eastAsia="仿宋_GB2312"/>
          <w:sz w:val="32"/>
          <w:szCs w:val="32"/>
        </w:rPr>
        <w:t>0万元（新增债务限额</w:t>
      </w:r>
      <w:r>
        <w:rPr>
          <w:rFonts w:hint="eastAsia" w:eastAsia="仿宋_GB2312"/>
          <w:sz w:val="32"/>
          <w:szCs w:val="32"/>
          <w:lang w:val="en-US" w:eastAsia="zh-CN"/>
        </w:rPr>
        <w:t>43100</w:t>
      </w:r>
      <w:r>
        <w:rPr>
          <w:rFonts w:hint="eastAsia" w:eastAsia="仿宋_GB2312"/>
          <w:sz w:val="32"/>
          <w:szCs w:val="32"/>
        </w:rPr>
        <w:t>万元），其中一般债务限额</w:t>
      </w:r>
      <w:r>
        <w:rPr>
          <w:rFonts w:hint="eastAsia" w:eastAsia="仿宋_GB2312"/>
          <w:sz w:val="32"/>
          <w:szCs w:val="32"/>
          <w:lang w:val="en-US" w:eastAsia="zh-CN"/>
        </w:rPr>
        <w:t>334600</w:t>
      </w:r>
      <w:r>
        <w:rPr>
          <w:rFonts w:hint="eastAsia" w:eastAsia="仿宋_GB2312"/>
          <w:sz w:val="32"/>
          <w:szCs w:val="32"/>
        </w:rPr>
        <w:t>万元，专项债务限额</w:t>
      </w:r>
      <w:r>
        <w:rPr>
          <w:rFonts w:hint="eastAsia" w:eastAsia="仿宋_GB2312"/>
          <w:sz w:val="32"/>
          <w:szCs w:val="32"/>
          <w:lang w:val="en-US" w:eastAsia="zh-CN"/>
        </w:rPr>
        <w:t>238700</w:t>
      </w:r>
      <w:r>
        <w:rPr>
          <w:rFonts w:hint="eastAsia" w:eastAsia="仿宋_GB2312"/>
          <w:sz w:val="32"/>
          <w:szCs w:val="32"/>
        </w:rPr>
        <w:t>万元。截止202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</w:rPr>
        <w:t>年底，地方政府债务余额</w:t>
      </w:r>
      <w:r>
        <w:rPr>
          <w:rFonts w:hint="eastAsia" w:eastAsia="仿宋_GB2312"/>
          <w:sz w:val="32"/>
          <w:szCs w:val="32"/>
          <w:lang w:val="en-US" w:eastAsia="zh-CN"/>
        </w:rPr>
        <w:t>572678</w:t>
      </w:r>
      <w:r>
        <w:rPr>
          <w:rFonts w:hint="eastAsia" w:eastAsia="仿宋_GB2312"/>
          <w:sz w:val="32"/>
          <w:szCs w:val="32"/>
        </w:rPr>
        <w:t>万元，其中一般债务余额</w:t>
      </w:r>
      <w:r>
        <w:rPr>
          <w:rFonts w:hint="eastAsia" w:eastAsia="仿宋_GB2312"/>
          <w:sz w:val="32"/>
          <w:szCs w:val="32"/>
          <w:lang w:val="en-US" w:eastAsia="zh-CN"/>
        </w:rPr>
        <w:t>333978</w:t>
      </w:r>
      <w:r>
        <w:rPr>
          <w:rFonts w:hint="eastAsia" w:eastAsia="仿宋_GB2312"/>
          <w:sz w:val="32"/>
          <w:szCs w:val="32"/>
        </w:rPr>
        <w:t>万元，专项债务余额</w:t>
      </w:r>
      <w:r>
        <w:rPr>
          <w:rFonts w:hint="eastAsia" w:eastAsia="仿宋_GB2312"/>
          <w:sz w:val="32"/>
          <w:szCs w:val="32"/>
          <w:lang w:val="en-US" w:eastAsia="zh-CN"/>
        </w:rPr>
        <w:t>238700</w:t>
      </w:r>
      <w:r>
        <w:rPr>
          <w:rFonts w:hint="eastAsia" w:eastAsia="仿宋_GB2312"/>
          <w:sz w:val="32"/>
          <w:szCs w:val="32"/>
        </w:rPr>
        <w:t>万元。</w:t>
      </w:r>
    </w:p>
    <w:p>
      <w:pPr>
        <w:spacing w:line="580" w:lineRule="exact"/>
        <w:ind w:firstLine="643" w:firstLineChars="200"/>
        <w:rPr>
          <w:rFonts w:eastAsia="楷体_GB2312"/>
          <w:b/>
          <w:color w:val="000000"/>
          <w:sz w:val="32"/>
          <w:szCs w:val="32"/>
        </w:rPr>
      </w:pPr>
      <w:r>
        <w:rPr>
          <w:rFonts w:hint="eastAsia" w:eastAsia="楷体_GB2312"/>
          <w:b/>
          <w:color w:val="000000"/>
          <w:sz w:val="32"/>
          <w:szCs w:val="32"/>
        </w:rPr>
        <w:t>（二）</w:t>
      </w:r>
      <w:r>
        <w:rPr>
          <w:rFonts w:eastAsia="楷体_GB2312"/>
          <w:b/>
          <w:color w:val="000000"/>
          <w:sz w:val="32"/>
          <w:szCs w:val="32"/>
        </w:rPr>
        <w:t>地方政府债券发行情况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年，省转贷新增债务限额</w:t>
      </w:r>
      <w:r>
        <w:rPr>
          <w:rFonts w:hint="eastAsia" w:eastAsia="仿宋_GB2312"/>
          <w:sz w:val="32"/>
          <w:szCs w:val="32"/>
          <w:lang w:val="en-US" w:eastAsia="zh-CN"/>
        </w:rPr>
        <w:t>43100</w:t>
      </w:r>
      <w:r>
        <w:rPr>
          <w:rFonts w:hint="eastAsia" w:eastAsia="仿宋_GB2312"/>
          <w:sz w:val="32"/>
          <w:szCs w:val="32"/>
        </w:rPr>
        <w:t>万元</w:t>
      </w:r>
      <w:r>
        <w:rPr>
          <w:rFonts w:eastAsia="仿宋_GB2312"/>
          <w:sz w:val="32"/>
          <w:szCs w:val="32"/>
        </w:rPr>
        <w:t>，其中一般债务限额</w:t>
      </w:r>
      <w:r>
        <w:rPr>
          <w:rFonts w:hint="eastAsia" w:eastAsia="仿宋_GB2312"/>
          <w:sz w:val="32"/>
          <w:szCs w:val="32"/>
          <w:lang w:val="en-US" w:eastAsia="zh-CN"/>
        </w:rPr>
        <w:t>13500</w:t>
      </w:r>
      <w:r>
        <w:rPr>
          <w:rFonts w:hint="eastAsia" w:eastAsia="仿宋_GB2312"/>
          <w:sz w:val="32"/>
          <w:szCs w:val="32"/>
        </w:rPr>
        <w:t>万元</w:t>
      </w:r>
      <w:r>
        <w:rPr>
          <w:rFonts w:eastAsia="仿宋_GB2312"/>
          <w:sz w:val="32"/>
          <w:szCs w:val="32"/>
        </w:rPr>
        <w:t>，专项债务限额</w:t>
      </w:r>
      <w:r>
        <w:rPr>
          <w:rFonts w:hint="eastAsia" w:eastAsia="仿宋_GB2312"/>
          <w:sz w:val="32"/>
          <w:szCs w:val="32"/>
          <w:lang w:val="en-US" w:eastAsia="zh-CN"/>
        </w:rPr>
        <w:t>29600</w:t>
      </w:r>
      <w:r>
        <w:rPr>
          <w:rFonts w:hint="eastAsia" w:eastAsia="仿宋_GB2312"/>
          <w:sz w:val="32"/>
          <w:szCs w:val="32"/>
        </w:rPr>
        <w:t>万元。再加上用于到期债券还本的再融资债券</w:t>
      </w:r>
      <w:r>
        <w:rPr>
          <w:rFonts w:hint="eastAsia" w:eastAsia="仿宋_GB2312"/>
          <w:sz w:val="32"/>
          <w:szCs w:val="32"/>
          <w:lang w:val="en-US" w:eastAsia="zh-CN"/>
        </w:rPr>
        <w:t>73957</w:t>
      </w:r>
      <w:r>
        <w:rPr>
          <w:rFonts w:hint="eastAsia" w:eastAsia="仿宋_GB2312"/>
          <w:sz w:val="32"/>
          <w:szCs w:val="32"/>
        </w:rPr>
        <w:t>万元，共计117057万元，平均利率2.97%，平均期限11.2年。</w:t>
      </w:r>
    </w:p>
    <w:p>
      <w:pPr>
        <w:spacing w:line="580" w:lineRule="exact"/>
        <w:ind w:firstLine="643" w:firstLineChars="200"/>
        <w:rPr>
          <w:rFonts w:eastAsia="楷体_GB2312"/>
          <w:b/>
          <w:color w:val="000000"/>
          <w:sz w:val="32"/>
          <w:szCs w:val="32"/>
        </w:rPr>
      </w:pPr>
      <w:r>
        <w:rPr>
          <w:rFonts w:hint="eastAsia" w:eastAsia="楷体_GB2312"/>
          <w:b/>
          <w:color w:val="000000"/>
          <w:sz w:val="32"/>
          <w:szCs w:val="32"/>
        </w:rPr>
        <w:t>（三）</w:t>
      </w:r>
      <w:r>
        <w:rPr>
          <w:rFonts w:eastAsia="楷体_GB2312"/>
          <w:b/>
          <w:color w:val="000000"/>
          <w:sz w:val="32"/>
          <w:szCs w:val="32"/>
        </w:rPr>
        <w:t>地方政府债务还本付息情况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年偿还地方政府债券本金</w:t>
      </w:r>
      <w:r>
        <w:rPr>
          <w:rFonts w:hint="eastAsia" w:eastAsia="仿宋_GB2312"/>
          <w:sz w:val="32"/>
          <w:szCs w:val="32"/>
          <w:lang w:val="en-US" w:eastAsia="zh-CN"/>
        </w:rPr>
        <w:t>73962</w:t>
      </w:r>
      <w:r>
        <w:rPr>
          <w:rFonts w:hint="eastAsia" w:eastAsia="仿宋_GB2312"/>
          <w:sz w:val="32"/>
          <w:szCs w:val="32"/>
        </w:rPr>
        <w:t>万元</w:t>
      </w:r>
      <w:r>
        <w:rPr>
          <w:rFonts w:eastAsia="仿宋_GB2312"/>
          <w:sz w:val="32"/>
          <w:szCs w:val="32"/>
        </w:rPr>
        <w:t>，其中一般债券</w:t>
      </w:r>
      <w:r>
        <w:rPr>
          <w:rFonts w:hint="eastAsia" w:eastAsia="仿宋_GB2312"/>
          <w:sz w:val="32"/>
          <w:szCs w:val="32"/>
          <w:lang w:val="en-US" w:eastAsia="zh-CN"/>
        </w:rPr>
        <w:t>73962</w:t>
      </w:r>
      <w:r>
        <w:rPr>
          <w:rFonts w:hint="eastAsia" w:eastAsia="仿宋_GB2312"/>
          <w:sz w:val="32"/>
          <w:szCs w:val="32"/>
        </w:rPr>
        <w:t>万元</w:t>
      </w:r>
      <w:r>
        <w:rPr>
          <w:rFonts w:eastAsia="仿宋_GB2312"/>
          <w:sz w:val="32"/>
          <w:szCs w:val="32"/>
        </w:rPr>
        <w:t>，专项</w:t>
      </w:r>
      <w:r>
        <w:rPr>
          <w:rFonts w:hint="eastAsia" w:eastAsia="仿宋_GB2312"/>
          <w:sz w:val="32"/>
          <w:szCs w:val="32"/>
        </w:rPr>
        <w:t>债券0万元；</w:t>
      </w:r>
      <w:r>
        <w:rPr>
          <w:rFonts w:eastAsia="仿宋_GB2312"/>
          <w:sz w:val="32"/>
          <w:szCs w:val="32"/>
        </w:rPr>
        <w:t>支付地方政府债券利息</w:t>
      </w:r>
      <w:r>
        <w:rPr>
          <w:rFonts w:hint="eastAsia" w:eastAsia="仿宋_GB2312"/>
          <w:sz w:val="32"/>
          <w:szCs w:val="32"/>
          <w:lang w:val="en-US" w:eastAsia="zh-CN"/>
        </w:rPr>
        <w:t>18604</w:t>
      </w:r>
      <w:r>
        <w:rPr>
          <w:rFonts w:hint="eastAsia" w:eastAsia="仿宋_GB2312"/>
          <w:sz w:val="32"/>
          <w:szCs w:val="32"/>
        </w:rPr>
        <w:t>万元</w:t>
      </w:r>
      <w:r>
        <w:rPr>
          <w:rFonts w:eastAsia="仿宋_GB2312"/>
          <w:sz w:val="32"/>
          <w:szCs w:val="32"/>
        </w:rPr>
        <w:t>，其中一般债券利息</w:t>
      </w:r>
      <w:r>
        <w:rPr>
          <w:rFonts w:hint="eastAsia" w:eastAsia="仿宋_GB2312"/>
          <w:sz w:val="32"/>
          <w:szCs w:val="32"/>
          <w:lang w:val="en-US" w:eastAsia="zh-CN"/>
        </w:rPr>
        <w:t>10957</w:t>
      </w:r>
      <w:r>
        <w:rPr>
          <w:rFonts w:hint="eastAsia" w:eastAsia="仿宋_GB2312"/>
          <w:sz w:val="32"/>
          <w:szCs w:val="32"/>
        </w:rPr>
        <w:t>万元</w:t>
      </w:r>
      <w:r>
        <w:rPr>
          <w:rFonts w:eastAsia="仿宋_GB2312"/>
          <w:sz w:val="32"/>
          <w:szCs w:val="32"/>
        </w:rPr>
        <w:t>，专项债券利息</w:t>
      </w:r>
      <w:r>
        <w:rPr>
          <w:rFonts w:hint="eastAsia" w:eastAsia="仿宋_GB2312"/>
          <w:sz w:val="32"/>
          <w:szCs w:val="32"/>
          <w:lang w:val="en-US" w:eastAsia="zh-CN"/>
        </w:rPr>
        <w:t>7647</w:t>
      </w:r>
      <w:r>
        <w:rPr>
          <w:rFonts w:hint="eastAsia" w:eastAsia="仿宋_GB2312"/>
          <w:sz w:val="32"/>
          <w:szCs w:val="32"/>
        </w:rPr>
        <w:t>万元</w:t>
      </w:r>
      <w:r>
        <w:rPr>
          <w:rFonts w:eastAsia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pStyle w:val="2"/>
        <w:rPr>
          <w:rFonts w:hint="eastAsia" w:eastAsia="黑体"/>
          <w:color w:val="000000"/>
          <w:sz w:val="32"/>
          <w:szCs w:val="32"/>
        </w:rPr>
      </w:pPr>
    </w:p>
    <w:p>
      <w:pPr>
        <w:pStyle w:val="2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jc w:val="center"/>
        <w:rPr>
          <w:rStyle w:val="17"/>
          <w:rFonts w:hint="default"/>
        </w:rPr>
      </w:pPr>
      <w:r>
        <w:rPr>
          <w:rStyle w:val="17"/>
          <w:rFonts w:hint="default"/>
        </w:rPr>
        <w:t>关于转移支付安排情况的说明</w:t>
      </w:r>
    </w:p>
    <w:p>
      <w:pPr>
        <w:spacing w:line="580" w:lineRule="exact"/>
        <w:ind w:firstLine="643" w:firstLineChars="200"/>
        <w:rPr>
          <w:rFonts w:hint="eastAsia" w:eastAsia="楷体_GB2312"/>
          <w:b/>
          <w:color w:val="000000"/>
          <w:sz w:val="32"/>
          <w:szCs w:val="32"/>
        </w:rPr>
      </w:pPr>
    </w:p>
    <w:p>
      <w:pPr>
        <w:spacing w:line="580" w:lineRule="exact"/>
        <w:ind w:firstLine="643" w:firstLineChars="200"/>
        <w:rPr>
          <w:rFonts w:eastAsia="楷体_GB2312"/>
          <w:b/>
          <w:color w:val="000000"/>
          <w:sz w:val="32"/>
          <w:szCs w:val="32"/>
        </w:rPr>
      </w:pPr>
      <w:r>
        <w:rPr>
          <w:rFonts w:hint="eastAsia" w:eastAsia="楷体_GB2312"/>
          <w:b/>
          <w:color w:val="000000"/>
          <w:sz w:val="32"/>
          <w:szCs w:val="32"/>
        </w:rPr>
        <w:t>（一）一般公共预算转移支付情况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1、上级税收返还和转移支付收入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2022年我区上级补助收入共计221545万元，增长4.6%。一是返还性收入77639万元，与上年基本持平；二是一般性转移支付收入52286万元，同比增长26.4%；三是专项转移支付收入91620万元，同比下降1.2%。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2、对下级税收返还和转移支付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天心区对街道均按部门预算单位进行管理，天心区无对下级税收返还和转移支付。</w:t>
      </w:r>
    </w:p>
    <w:p>
      <w:pPr>
        <w:spacing w:line="580" w:lineRule="exact"/>
        <w:ind w:firstLine="643" w:firstLineChars="200"/>
        <w:rPr>
          <w:rFonts w:hint="eastAsia" w:eastAsia="楷体_GB2312"/>
          <w:b/>
          <w:color w:val="000000"/>
          <w:sz w:val="32"/>
          <w:szCs w:val="32"/>
        </w:rPr>
      </w:pPr>
      <w:r>
        <w:rPr>
          <w:rFonts w:hint="eastAsia" w:eastAsia="楷体_GB2312"/>
          <w:b/>
          <w:color w:val="000000"/>
          <w:sz w:val="32"/>
          <w:szCs w:val="32"/>
        </w:rPr>
        <w:t>（二）政府性基金预算转移支付情况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1、上级转移支付收入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</w:rPr>
        <w:t>年我区政府性基金上级补助收入</w:t>
      </w:r>
      <w:r>
        <w:rPr>
          <w:rFonts w:hint="eastAsia" w:eastAsia="仿宋_GB2312"/>
          <w:sz w:val="32"/>
          <w:szCs w:val="32"/>
          <w:lang w:val="en-US" w:eastAsia="zh-CN"/>
        </w:rPr>
        <w:t>169761</w:t>
      </w:r>
      <w:r>
        <w:rPr>
          <w:rFonts w:hint="eastAsia" w:eastAsia="仿宋_GB2312"/>
          <w:sz w:val="32"/>
          <w:szCs w:val="32"/>
        </w:rPr>
        <w:t>万元，同比</w:t>
      </w:r>
      <w:r>
        <w:rPr>
          <w:rFonts w:hint="eastAsia" w:eastAsia="仿宋_GB2312"/>
          <w:sz w:val="32"/>
          <w:szCs w:val="32"/>
          <w:lang w:eastAsia="zh-CN"/>
        </w:rPr>
        <w:t>增长</w:t>
      </w:r>
      <w:r>
        <w:rPr>
          <w:rFonts w:hint="eastAsia" w:eastAsia="仿宋_GB2312"/>
          <w:sz w:val="32"/>
          <w:szCs w:val="32"/>
          <w:lang w:val="en-US" w:eastAsia="zh-CN"/>
        </w:rPr>
        <w:t>190.1</w:t>
      </w:r>
      <w:r>
        <w:rPr>
          <w:rFonts w:hint="eastAsia" w:eastAsia="仿宋_GB2312"/>
          <w:sz w:val="32"/>
          <w:szCs w:val="32"/>
        </w:rPr>
        <w:t>%。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2、对下级转移支付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天心区对街道均按部门预算单位进行管理，天心区无对下级转移支付。</w:t>
      </w:r>
    </w:p>
    <w:p>
      <w:pPr>
        <w:spacing w:line="580" w:lineRule="exact"/>
        <w:ind w:firstLine="643" w:firstLineChars="200"/>
        <w:rPr>
          <w:rFonts w:eastAsia="楷体_GB2312"/>
          <w:b/>
          <w:color w:val="000000"/>
          <w:sz w:val="32"/>
          <w:szCs w:val="32"/>
        </w:rPr>
      </w:pPr>
      <w:r>
        <w:rPr>
          <w:rFonts w:hint="eastAsia" w:eastAsia="楷体_GB2312"/>
          <w:b/>
          <w:color w:val="000000"/>
          <w:sz w:val="32"/>
          <w:szCs w:val="32"/>
        </w:rPr>
        <w:t>（三）国有资本经营预算转移支付情况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1、上级转移支付收入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</w:rPr>
        <w:t>年我区国有资本经营上级补助收入</w:t>
      </w:r>
      <w:r>
        <w:rPr>
          <w:rFonts w:hint="eastAsia" w:eastAsia="仿宋_GB2312"/>
          <w:sz w:val="32"/>
          <w:szCs w:val="32"/>
          <w:lang w:val="en-US" w:eastAsia="zh-CN"/>
        </w:rPr>
        <w:t>573</w:t>
      </w:r>
      <w:r>
        <w:rPr>
          <w:rFonts w:hint="eastAsia" w:eastAsia="仿宋_GB2312"/>
          <w:sz w:val="32"/>
          <w:szCs w:val="32"/>
        </w:rPr>
        <w:t>万元，同比</w:t>
      </w:r>
      <w:r>
        <w:rPr>
          <w:rFonts w:hint="eastAsia" w:eastAsia="仿宋_GB2312"/>
          <w:sz w:val="32"/>
          <w:szCs w:val="32"/>
          <w:lang w:eastAsia="zh-CN"/>
        </w:rPr>
        <w:t>下降</w:t>
      </w:r>
      <w:r>
        <w:rPr>
          <w:rFonts w:hint="eastAsia" w:eastAsia="仿宋_GB2312"/>
          <w:sz w:val="32"/>
          <w:szCs w:val="32"/>
          <w:lang w:val="en-US" w:eastAsia="zh-CN"/>
        </w:rPr>
        <w:t>34.6</w:t>
      </w:r>
      <w:r>
        <w:rPr>
          <w:rFonts w:hint="eastAsia" w:eastAsia="仿宋_GB2312"/>
          <w:sz w:val="32"/>
          <w:szCs w:val="32"/>
        </w:rPr>
        <w:t>%。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2、对下级转移支付</w:t>
      </w:r>
    </w:p>
    <w:p>
      <w:pPr>
        <w:spacing w:line="58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天心区对街道均按部门预算单位进行管理，天心区无对下级转移支付。</w:t>
      </w: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Style w:val="17"/>
          <w:rFonts w:hint="default"/>
        </w:rPr>
      </w:pPr>
      <w:r>
        <w:rPr>
          <w:rStyle w:val="17"/>
          <w:rFonts w:hint="eastAsia" w:eastAsia="方正小标宋_GBK"/>
          <w:lang w:val="en-US" w:eastAsia="zh-CN"/>
        </w:rPr>
        <w:t>关于</w:t>
      </w:r>
      <w:r>
        <w:rPr>
          <w:rStyle w:val="17"/>
          <w:rFonts w:hint="default"/>
        </w:rPr>
        <w:t>202</w:t>
      </w:r>
      <w:r>
        <w:rPr>
          <w:rStyle w:val="17"/>
          <w:rFonts w:hint="eastAsia" w:eastAsia="方正小标宋_GBK"/>
          <w:lang w:val="en-US" w:eastAsia="zh-CN"/>
        </w:rPr>
        <w:t>2</w:t>
      </w:r>
      <w:r>
        <w:rPr>
          <w:rStyle w:val="17"/>
          <w:rFonts w:hint="default"/>
        </w:rPr>
        <w:t>年度预算绩效管理工作情况</w:t>
      </w:r>
      <w:r>
        <w:rPr>
          <w:rStyle w:val="17"/>
          <w:rFonts w:hint="eastAsia" w:eastAsia="方正小标宋_GBK"/>
          <w:lang w:val="en-US" w:eastAsia="zh-CN"/>
        </w:rPr>
        <w:t>的</w:t>
      </w:r>
      <w:r>
        <w:rPr>
          <w:rStyle w:val="17"/>
          <w:rFonts w:hint="default"/>
        </w:rPr>
        <w:t>说明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天心财政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认真贯彻落实中央和省市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关于全面实施预算绩效管理的决策部署，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不断健全</w:t>
      </w:r>
      <w:r>
        <w:rPr>
          <w:rFonts w:hint="eastAsia" w:ascii="仿宋_GB2312" w:hAnsi="仿宋_GB2312" w:eastAsia="仿宋_GB2312" w:cs="仿宋_GB2312"/>
          <w:sz w:val="32"/>
          <w:szCs w:val="32"/>
        </w:rPr>
        <w:t>全方位、全过程、全覆盖的预算绩效管理体系，始终突出绩效理念，做到预算绩效管理工作既全面推进，又重点突出。我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区在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年度市县财政部门预算绩效管理工作考核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评比</w:t>
      </w:r>
      <w:r>
        <w:rPr>
          <w:rFonts w:hint="eastAsia" w:ascii="仿宋_GB2312" w:hAnsi="仿宋_GB2312" w:eastAsia="仿宋_GB2312" w:cs="仿宋_GB2312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荣获“优秀”称号，</w:t>
      </w:r>
      <w:r>
        <w:rPr>
          <w:rFonts w:hint="eastAsia" w:ascii="仿宋_GB2312" w:hAnsi="仿宋_GB2312" w:eastAsia="仿宋_GB2312" w:cs="仿宋_GB2312"/>
          <w:sz w:val="32"/>
          <w:szCs w:val="32"/>
        </w:rPr>
        <w:t>受到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湖南省财政厅</w:t>
      </w:r>
      <w:r>
        <w:rPr>
          <w:rFonts w:hint="eastAsia" w:ascii="仿宋_GB2312" w:hAnsi="仿宋_GB2312" w:eastAsia="仿宋_GB2312" w:cs="仿宋_GB2312"/>
          <w:sz w:val="32"/>
          <w:szCs w:val="32"/>
        </w:rPr>
        <w:t>通报表扬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一是强化预算绩效目标管理。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预算绩效管理科牵头，各业务科室共同参与，按照业务线初审，预算绩效管理科与第三方中介联合复审的模式，于“二下”期间，审核预算单位部门整体支出绩效目标和项目支出绩效目标，按“初审、反馈、修改、复审”的方式，提升绩效目标的编报质量，打好了预算绩效管理工作的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二是突出绩效自评和绩效运行监控重点。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部门整体支出与项目支出绩效自评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继续</w:t>
      </w:r>
      <w:r>
        <w:rPr>
          <w:rFonts w:hint="eastAsia" w:ascii="仿宋_GB2312" w:hAnsi="仿宋_GB2312" w:eastAsia="仿宋_GB2312" w:cs="仿宋_GB2312"/>
          <w:sz w:val="32"/>
          <w:szCs w:val="32"/>
        </w:rPr>
        <w:t>落实“两个全部”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所有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预算单位全部开展绩效自评、评价范围覆盖全部财政资金。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绩效运行监控涵盖</w:t>
      </w:r>
      <w:r>
        <w:rPr>
          <w:rFonts w:hint="eastAsia" w:ascii="仿宋_GB2312" w:hAnsi="仿宋_GB2312" w:eastAsia="仿宋_GB2312" w:cs="仿宋_GB2312"/>
          <w:sz w:val="32"/>
          <w:szCs w:val="32"/>
        </w:rPr>
        <w:t>所有专项资金，监控覆盖率继续保持100%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同时聚焦预算金额50万元以上、上年结转资金较多、当年新增预算项目，开展财政重点绩效运行监控，督促预算单位实现其年度绩效目标，确保预算资金执行进度。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三是拓展重点绩效评价范围。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精心挑选19个项目总计评价资金8.23亿元开展财政重点绩效评价，评价资金增长6.67%，涵盖了区委区政府高度重视、公众普遍关注的重大政策、重大投资项目、重点民生项目和重点关注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，评价类型由专项资金、部门整体支出进一步拓展至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政府债券、重大政策和重点项目、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政府采购、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政府购买服务、</w:t>
      </w:r>
      <w:r>
        <w:rPr>
          <w:rFonts w:hint="eastAsia" w:ascii="仿宋_GB2312" w:hAnsi="仿宋_GB2312" w:eastAsia="仿宋_GB2312" w:cs="仿宋_GB2312"/>
          <w:sz w:val="32"/>
          <w:szCs w:val="32"/>
        </w:rPr>
        <w:t>事前绩效评估及政策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评价</w:t>
      </w:r>
      <w:r>
        <w:rPr>
          <w:rFonts w:hint="eastAsia" w:ascii="仿宋_GB2312" w:hAnsi="仿宋_GB2312" w:eastAsia="仿宋_GB2312" w:cs="仿宋_GB2312"/>
          <w:sz w:val="32"/>
          <w:szCs w:val="32"/>
        </w:rPr>
        <w:t>。从绩效评价结果来看，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重点绩效评价结果评为“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优</w:t>
      </w:r>
      <w:r>
        <w:rPr>
          <w:rFonts w:hint="eastAsia" w:ascii="仿宋_GB2312" w:hAnsi="仿宋_GB2312" w:eastAsia="仿宋_GB2312" w:cs="仿宋_GB2312"/>
          <w:sz w:val="32"/>
          <w:szCs w:val="32"/>
        </w:rPr>
        <w:t>”的项目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个，评为“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良</w:t>
      </w:r>
      <w:r>
        <w:rPr>
          <w:rFonts w:hint="eastAsia" w:ascii="仿宋_GB2312" w:hAnsi="仿宋_GB2312" w:eastAsia="仿宋_GB2312" w:cs="仿宋_GB2312"/>
          <w:sz w:val="32"/>
          <w:szCs w:val="32"/>
        </w:rPr>
        <w:t>”的项目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个，评为“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较差</w:t>
      </w:r>
      <w:r>
        <w:rPr>
          <w:rFonts w:hint="eastAsia" w:ascii="仿宋_GB2312" w:hAnsi="仿宋_GB2312" w:eastAsia="仿宋_GB2312" w:cs="仿宋_GB2312"/>
          <w:sz w:val="32"/>
          <w:szCs w:val="32"/>
        </w:rPr>
        <w:t>”的项目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大部分纳入重点绩效评价范围的项目评价结果良好，资金使用较合理，产出效益明显，公众满意度较高，较好地完成了项目预期目标。</w:t>
      </w:r>
    </w:p>
    <w:p>
      <w:pPr>
        <w:rPr>
          <w:rFonts w:hint="eastAsia" w:eastAsia="宋体"/>
          <w:lang w:val="en-US" w:eastAsia="zh-CN"/>
        </w:rPr>
      </w:pPr>
    </w:p>
    <w:p/>
    <w:p>
      <w:pPr>
        <w:spacing w:line="580" w:lineRule="exact"/>
        <w:ind w:firstLine="640" w:firstLineChars="200"/>
        <w:rPr>
          <w:rFonts w:hint="eastAsia" w:eastAsia="黑体"/>
          <w:color w:val="000000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5" w:h="16837"/>
      <w:pgMar w:top="1418" w:right="1588" w:bottom="1418" w:left="1588" w:header="720" w:footer="1701" w:gutter="0"/>
      <w:pgNumType w:start="1"/>
      <w:cols w:space="720" w:num="1"/>
      <w:titlePg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6908ED9-37EF-488E-8026-FA187EBB3C0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9025C2ED-A18C-4CF0-9C88-9F790F247503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AF5F8F18-1DEA-46F1-AF78-BF1989814291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88ED5EED-2B63-4222-A633-1E0BF01BA06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80" w:firstLine="360"/>
      <w:jc w:val="right"/>
      <w:rPr>
        <w:rFonts w:hint="eastAsia" w:ascii="宋体" w:hAnsi="宋体"/>
        <w:sz w:val="28"/>
        <w:szCs w:val="28"/>
      </w:rPr>
    </w:pPr>
    <w:r>
      <w:rPr>
        <w:rStyle w:val="9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Style w:val="9"/>
        <w:rFonts w:hint="eastAsia" w:ascii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280" w:firstLineChars="100"/>
      <w:rPr>
        <w:rFonts w:hint="eastAsia" w:ascii="宋体" w:hAnsi="宋体"/>
        <w:sz w:val="28"/>
        <w:szCs w:val="28"/>
      </w:rPr>
    </w:pPr>
    <w:r>
      <w:rPr>
        <w:rStyle w:val="9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9"/>
        <w:rFonts w:hint="eastAsia" w:ascii="宋体" w:hAnsi="宋体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4YTkxOGVhZGNlY2JlOGY3MjE5MjFmNGYxYzE5YjcifQ=="/>
    <w:docVar w:name="KSO_WPS_MARK_KEY" w:val="a0a8da78-5df7-42a1-b7d5-e2d3be7c6773"/>
  </w:docVars>
  <w:rsids>
    <w:rsidRoot w:val="00172A27"/>
    <w:rsid w:val="00025999"/>
    <w:rsid w:val="00034614"/>
    <w:rsid w:val="000355B0"/>
    <w:rsid w:val="00037C7A"/>
    <w:rsid w:val="00045A0E"/>
    <w:rsid w:val="000764C6"/>
    <w:rsid w:val="00080C74"/>
    <w:rsid w:val="00083A25"/>
    <w:rsid w:val="000862FE"/>
    <w:rsid w:val="000B0731"/>
    <w:rsid w:val="000C4AE2"/>
    <w:rsid w:val="000D2101"/>
    <w:rsid w:val="001113AC"/>
    <w:rsid w:val="0012347C"/>
    <w:rsid w:val="0014543A"/>
    <w:rsid w:val="00153303"/>
    <w:rsid w:val="00153671"/>
    <w:rsid w:val="00156070"/>
    <w:rsid w:val="001633B3"/>
    <w:rsid w:val="001704F9"/>
    <w:rsid w:val="00184FD5"/>
    <w:rsid w:val="00191B1C"/>
    <w:rsid w:val="001F6F2F"/>
    <w:rsid w:val="002001EF"/>
    <w:rsid w:val="002056CB"/>
    <w:rsid w:val="00206441"/>
    <w:rsid w:val="00227E50"/>
    <w:rsid w:val="0023102B"/>
    <w:rsid w:val="0025266A"/>
    <w:rsid w:val="002761CD"/>
    <w:rsid w:val="00281AD1"/>
    <w:rsid w:val="002862C6"/>
    <w:rsid w:val="00290F4B"/>
    <w:rsid w:val="002A7F19"/>
    <w:rsid w:val="002B4443"/>
    <w:rsid w:val="002C01D1"/>
    <w:rsid w:val="002C5597"/>
    <w:rsid w:val="002D1202"/>
    <w:rsid w:val="002D551A"/>
    <w:rsid w:val="002E1A68"/>
    <w:rsid w:val="00303E00"/>
    <w:rsid w:val="00312A76"/>
    <w:rsid w:val="003240D5"/>
    <w:rsid w:val="00327295"/>
    <w:rsid w:val="0038054D"/>
    <w:rsid w:val="003A4E5C"/>
    <w:rsid w:val="003A55F2"/>
    <w:rsid w:val="003B2281"/>
    <w:rsid w:val="003E2F6B"/>
    <w:rsid w:val="003F38A7"/>
    <w:rsid w:val="003F7E05"/>
    <w:rsid w:val="00401B08"/>
    <w:rsid w:val="00414F0B"/>
    <w:rsid w:val="00415234"/>
    <w:rsid w:val="00422E20"/>
    <w:rsid w:val="00423E64"/>
    <w:rsid w:val="00434DA1"/>
    <w:rsid w:val="00435E7B"/>
    <w:rsid w:val="00440598"/>
    <w:rsid w:val="00441747"/>
    <w:rsid w:val="00445950"/>
    <w:rsid w:val="00455312"/>
    <w:rsid w:val="004631A1"/>
    <w:rsid w:val="0047515C"/>
    <w:rsid w:val="00480EB5"/>
    <w:rsid w:val="0048488C"/>
    <w:rsid w:val="004858E8"/>
    <w:rsid w:val="004952E3"/>
    <w:rsid w:val="004A1A20"/>
    <w:rsid w:val="004A37E9"/>
    <w:rsid w:val="004B238D"/>
    <w:rsid w:val="004B3198"/>
    <w:rsid w:val="004C0683"/>
    <w:rsid w:val="004C3294"/>
    <w:rsid w:val="004E3CE4"/>
    <w:rsid w:val="0050030D"/>
    <w:rsid w:val="00506544"/>
    <w:rsid w:val="005107DF"/>
    <w:rsid w:val="005348A1"/>
    <w:rsid w:val="00537B20"/>
    <w:rsid w:val="00557A83"/>
    <w:rsid w:val="00566F57"/>
    <w:rsid w:val="00572188"/>
    <w:rsid w:val="005966E3"/>
    <w:rsid w:val="005A456D"/>
    <w:rsid w:val="005B0123"/>
    <w:rsid w:val="005B0DD0"/>
    <w:rsid w:val="005B4B5B"/>
    <w:rsid w:val="005C4EB2"/>
    <w:rsid w:val="005C7CCA"/>
    <w:rsid w:val="005E6554"/>
    <w:rsid w:val="005F299D"/>
    <w:rsid w:val="00601325"/>
    <w:rsid w:val="0062001D"/>
    <w:rsid w:val="00630977"/>
    <w:rsid w:val="00647632"/>
    <w:rsid w:val="006527A6"/>
    <w:rsid w:val="00660982"/>
    <w:rsid w:val="00661128"/>
    <w:rsid w:val="00666A5F"/>
    <w:rsid w:val="00681BFA"/>
    <w:rsid w:val="00684947"/>
    <w:rsid w:val="006A426B"/>
    <w:rsid w:val="006D24EA"/>
    <w:rsid w:val="006D5BC6"/>
    <w:rsid w:val="006E300C"/>
    <w:rsid w:val="006F7A67"/>
    <w:rsid w:val="007039FE"/>
    <w:rsid w:val="007112FA"/>
    <w:rsid w:val="0072410D"/>
    <w:rsid w:val="00724687"/>
    <w:rsid w:val="00736FA5"/>
    <w:rsid w:val="00755F55"/>
    <w:rsid w:val="00781723"/>
    <w:rsid w:val="007940F2"/>
    <w:rsid w:val="007A0CB2"/>
    <w:rsid w:val="007A66D7"/>
    <w:rsid w:val="007B4CD3"/>
    <w:rsid w:val="007B6779"/>
    <w:rsid w:val="007C6FB3"/>
    <w:rsid w:val="007D1EAD"/>
    <w:rsid w:val="007E0B1A"/>
    <w:rsid w:val="00800793"/>
    <w:rsid w:val="0080797E"/>
    <w:rsid w:val="008267AF"/>
    <w:rsid w:val="00833870"/>
    <w:rsid w:val="0085520B"/>
    <w:rsid w:val="00855D45"/>
    <w:rsid w:val="00874AD9"/>
    <w:rsid w:val="00883BAF"/>
    <w:rsid w:val="00897FF8"/>
    <w:rsid w:val="008E53CD"/>
    <w:rsid w:val="008F6D2A"/>
    <w:rsid w:val="00912994"/>
    <w:rsid w:val="00915E3F"/>
    <w:rsid w:val="00932625"/>
    <w:rsid w:val="00933D20"/>
    <w:rsid w:val="00937FC5"/>
    <w:rsid w:val="009452EC"/>
    <w:rsid w:val="009468DE"/>
    <w:rsid w:val="00951A29"/>
    <w:rsid w:val="00954C45"/>
    <w:rsid w:val="00954D7D"/>
    <w:rsid w:val="0096242C"/>
    <w:rsid w:val="009735F8"/>
    <w:rsid w:val="0099598E"/>
    <w:rsid w:val="00995D80"/>
    <w:rsid w:val="009B7356"/>
    <w:rsid w:val="009B7871"/>
    <w:rsid w:val="009C4EDA"/>
    <w:rsid w:val="009C5A0D"/>
    <w:rsid w:val="009E3B2A"/>
    <w:rsid w:val="009F6081"/>
    <w:rsid w:val="009F6A25"/>
    <w:rsid w:val="00A01A6E"/>
    <w:rsid w:val="00A02EC6"/>
    <w:rsid w:val="00A04F10"/>
    <w:rsid w:val="00A05EFE"/>
    <w:rsid w:val="00A133D1"/>
    <w:rsid w:val="00A16970"/>
    <w:rsid w:val="00A16EB9"/>
    <w:rsid w:val="00A211B1"/>
    <w:rsid w:val="00A2502B"/>
    <w:rsid w:val="00A25E3A"/>
    <w:rsid w:val="00A261A8"/>
    <w:rsid w:val="00A62A93"/>
    <w:rsid w:val="00A735D7"/>
    <w:rsid w:val="00A73AD9"/>
    <w:rsid w:val="00A767AF"/>
    <w:rsid w:val="00A76E89"/>
    <w:rsid w:val="00A867F1"/>
    <w:rsid w:val="00A90A98"/>
    <w:rsid w:val="00A94758"/>
    <w:rsid w:val="00AA099B"/>
    <w:rsid w:val="00AB249A"/>
    <w:rsid w:val="00AC4379"/>
    <w:rsid w:val="00AC59AF"/>
    <w:rsid w:val="00AD2E80"/>
    <w:rsid w:val="00AD3986"/>
    <w:rsid w:val="00AF59D2"/>
    <w:rsid w:val="00AF662B"/>
    <w:rsid w:val="00B0191D"/>
    <w:rsid w:val="00B03190"/>
    <w:rsid w:val="00B173EA"/>
    <w:rsid w:val="00B25D29"/>
    <w:rsid w:val="00B63868"/>
    <w:rsid w:val="00B902EA"/>
    <w:rsid w:val="00B91E4E"/>
    <w:rsid w:val="00BA0CC5"/>
    <w:rsid w:val="00BA35FF"/>
    <w:rsid w:val="00BA49A5"/>
    <w:rsid w:val="00BA7DD4"/>
    <w:rsid w:val="00BB0096"/>
    <w:rsid w:val="00BB48AC"/>
    <w:rsid w:val="00BD1A7A"/>
    <w:rsid w:val="00BF2E39"/>
    <w:rsid w:val="00C057E1"/>
    <w:rsid w:val="00C3101A"/>
    <w:rsid w:val="00C43136"/>
    <w:rsid w:val="00C45712"/>
    <w:rsid w:val="00C461B1"/>
    <w:rsid w:val="00C502E6"/>
    <w:rsid w:val="00C55402"/>
    <w:rsid w:val="00C84E1B"/>
    <w:rsid w:val="00CA00AA"/>
    <w:rsid w:val="00CA62DF"/>
    <w:rsid w:val="00CB1E1C"/>
    <w:rsid w:val="00CD305F"/>
    <w:rsid w:val="00CD3962"/>
    <w:rsid w:val="00CD5B2D"/>
    <w:rsid w:val="00CF14F8"/>
    <w:rsid w:val="00D06994"/>
    <w:rsid w:val="00D472E6"/>
    <w:rsid w:val="00D50818"/>
    <w:rsid w:val="00D51002"/>
    <w:rsid w:val="00D54532"/>
    <w:rsid w:val="00D6000D"/>
    <w:rsid w:val="00D60A3C"/>
    <w:rsid w:val="00D6241C"/>
    <w:rsid w:val="00D62827"/>
    <w:rsid w:val="00D6336E"/>
    <w:rsid w:val="00D64B55"/>
    <w:rsid w:val="00D65319"/>
    <w:rsid w:val="00D73707"/>
    <w:rsid w:val="00D75BAA"/>
    <w:rsid w:val="00D75C8F"/>
    <w:rsid w:val="00D83031"/>
    <w:rsid w:val="00D85671"/>
    <w:rsid w:val="00DA1AE3"/>
    <w:rsid w:val="00DB5B2B"/>
    <w:rsid w:val="00DD61CF"/>
    <w:rsid w:val="00DE2ACC"/>
    <w:rsid w:val="00DF3218"/>
    <w:rsid w:val="00DF6AC9"/>
    <w:rsid w:val="00E12FB9"/>
    <w:rsid w:val="00E33A41"/>
    <w:rsid w:val="00E40D8D"/>
    <w:rsid w:val="00E42685"/>
    <w:rsid w:val="00E6144F"/>
    <w:rsid w:val="00E752E5"/>
    <w:rsid w:val="00E8260A"/>
    <w:rsid w:val="00E83486"/>
    <w:rsid w:val="00EA217D"/>
    <w:rsid w:val="00EA4692"/>
    <w:rsid w:val="00EC0BFA"/>
    <w:rsid w:val="00EC552C"/>
    <w:rsid w:val="00EC55E6"/>
    <w:rsid w:val="00ED0A8C"/>
    <w:rsid w:val="00EE25B9"/>
    <w:rsid w:val="00F00837"/>
    <w:rsid w:val="00F06CDC"/>
    <w:rsid w:val="00F10AC1"/>
    <w:rsid w:val="00F15BE4"/>
    <w:rsid w:val="00F24A6F"/>
    <w:rsid w:val="00F54679"/>
    <w:rsid w:val="00F66B76"/>
    <w:rsid w:val="00F72E34"/>
    <w:rsid w:val="00F73DBC"/>
    <w:rsid w:val="00F90582"/>
    <w:rsid w:val="00FA6159"/>
    <w:rsid w:val="00FB0CAC"/>
    <w:rsid w:val="00FC06EE"/>
    <w:rsid w:val="00FC18E5"/>
    <w:rsid w:val="00FC623E"/>
    <w:rsid w:val="00FC6E95"/>
    <w:rsid w:val="00FD372B"/>
    <w:rsid w:val="0C637D54"/>
    <w:rsid w:val="112219B1"/>
    <w:rsid w:val="1CE02102"/>
    <w:rsid w:val="28DB003A"/>
    <w:rsid w:val="2FF03017"/>
    <w:rsid w:val="31F32FC4"/>
    <w:rsid w:val="32D42315"/>
    <w:rsid w:val="40D625AB"/>
    <w:rsid w:val="4147672C"/>
    <w:rsid w:val="44965583"/>
    <w:rsid w:val="4B854D07"/>
    <w:rsid w:val="4FC559BC"/>
    <w:rsid w:val="54A656ED"/>
    <w:rsid w:val="698E13BC"/>
    <w:rsid w:val="6D0F7F81"/>
    <w:rsid w:val="7A5033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spacing w:after="120" w:afterLines="0"/>
    </w:p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styleId="4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正文文本 Char"/>
    <w:link w:val="2"/>
    <w:qFormat/>
    <w:uiPriority w:val="0"/>
    <w:rPr>
      <w:kern w:val="2"/>
      <w:sz w:val="21"/>
      <w:szCs w:val="24"/>
    </w:rPr>
  </w:style>
  <w:style w:type="character" w:customStyle="1" w:styleId="11">
    <w:name w:val="批注框文本 Char"/>
    <w:link w:val="4"/>
    <w:semiHidden/>
    <w:qFormat/>
    <w:uiPriority w:val="99"/>
    <w:rPr>
      <w:kern w:val="2"/>
      <w:sz w:val="18"/>
      <w:szCs w:val="18"/>
    </w:rPr>
  </w:style>
  <w:style w:type="character" w:customStyle="1" w:styleId="12">
    <w:name w:val="页脚 Char"/>
    <w:link w:val="5"/>
    <w:qFormat/>
    <w:uiPriority w:val="99"/>
    <w:rPr>
      <w:kern w:val="2"/>
      <w:sz w:val="18"/>
      <w:szCs w:val="18"/>
    </w:rPr>
  </w:style>
  <w:style w:type="character" w:customStyle="1" w:styleId="13">
    <w:name w:val="页眉 Char"/>
    <w:link w:val="6"/>
    <w:qFormat/>
    <w:uiPriority w:val="99"/>
    <w:rPr>
      <w:kern w:val="2"/>
      <w:sz w:val="18"/>
      <w:szCs w:val="18"/>
    </w:rPr>
  </w:style>
  <w:style w:type="paragraph" w:customStyle="1" w:styleId="14">
    <w:name w:val="表格内容"/>
    <w:basedOn w:val="2"/>
    <w:qFormat/>
    <w:uiPriority w:val="0"/>
    <w:pPr>
      <w:suppressLineNumbers/>
      <w:suppressAutoHyphens/>
      <w:jc w:val="left"/>
    </w:pPr>
    <w:rPr>
      <w:rFonts w:cs="Tahoma"/>
      <w:kern w:val="0"/>
      <w:sz w:val="24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character" w:customStyle="1" w:styleId="17">
    <w:name w:val="fontstyle01"/>
    <w:qFormat/>
    <w:uiPriority w:val="0"/>
    <w:rPr>
      <w:rFonts w:hint="eastAsia" w:ascii="方正小标宋_GBK" w:eastAsia="方正小标宋_GBK"/>
      <w:color w:val="00000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1623</Words>
  <Characters>1813</Characters>
  <Lines>7</Lines>
  <Paragraphs>2</Paragraphs>
  <TotalTime>1</TotalTime>
  <ScaleCrop>false</ScaleCrop>
  <LinksUpToDate>false</LinksUpToDate>
  <CharactersWithSpaces>1814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2021-09-16T01:25:00Z</dcterms:created>
  <dc:creator>Administrator</dc:creator>
  <cp:lastModifiedBy>张宇</cp:lastModifiedBy>
  <cp:lastPrinted>2021-05-16T11:47:00Z</cp:lastPrinted>
  <dcterms:modified xsi:type="dcterms:W3CDTF">2024-01-16T07:42:52Z</dcterms:modified>
  <dc:title>湖南省财政厅发文（指标、函）稿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6E225FEE19F7498A95CDB5240EF77F14</vt:lpwstr>
  </property>
</Properties>
</file>