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年计划生育奖扶经费专项资金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472"/>
        <w:gridCol w:w="600"/>
        <w:gridCol w:w="600"/>
        <w:gridCol w:w="1890"/>
        <w:gridCol w:w="600"/>
        <w:gridCol w:w="2100"/>
        <w:gridCol w:w="1965"/>
        <w:gridCol w:w="615"/>
        <w:gridCol w:w="505"/>
      </w:tblGrid>
      <w:tr>
        <w:tblPrEx>
          <w:tblCellMar>
            <w:top w:w="15" w:type="dxa"/>
            <w:left w:w="108" w:type="dxa"/>
            <w:bottom w:w="15" w:type="dxa"/>
            <w:right w:w="108" w:type="dxa"/>
          </w:tblCellMar>
        </w:tblPrEx>
        <w:trPr>
          <w:trHeight w:val="448" w:hRule="atLeast"/>
        </w:trPr>
        <w:tc>
          <w:tcPr>
            <w:tcW w:w="1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827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计划生育奖扶经费专项</w:t>
            </w:r>
          </w:p>
        </w:tc>
      </w:tr>
      <w:tr>
        <w:tblPrEx>
          <w:tblCellMar>
            <w:top w:w="15" w:type="dxa"/>
            <w:left w:w="108" w:type="dxa"/>
            <w:bottom w:w="15" w:type="dxa"/>
            <w:right w:w="108" w:type="dxa"/>
          </w:tblCellMar>
        </w:tblPrEx>
        <w:trPr>
          <w:trHeight w:val="448" w:hRule="atLeast"/>
        </w:trPr>
        <w:tc>
          <w:tcPr>
            <w:tcW w:w="1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827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天心区卫生健康局</w:t>
            </w:r>
          </w:p>
        </w:tc>
      </w:tr>
      <w:tr>
        <w:tblPrEx>
          <w:tblCellMar>
            <w:top w:w="15" w:type="dxa"/>
            <w:left w:w="108" w:type="dxa"/>
            <w:bottom w:w="15" w:type="dxa"/>
            <w:right w:w="108" w:type="dxa"/>
          </w:tblCellMar>
        </w:tblPrEx>
        <w:trPr>
          <w:trHeight w:val="449" w:hRule="atLeast"/>
        </w:trPr>
        <w:tc>
          <w:tcPr>
            <w:tcW w:w="1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827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3030万元</w:t>
            </w:r>
          </w:p>
        </w:tc>
      </w:tr>
      <w:tr>
        <w:tblPrEx>
          <w:tblCellMar>
            <w:top w:w="15" w:type="dxa"/>
            <w:left w:w="108" w:type="dxa"/>
            <w:bottom w:w="15" w:type="dxa"/>
            <w:right w:w="108" w:type="dxa"/>
          </w:tblCellMar>
        </w:tblPrEx>
        <w:trPr>
          <w:trHeight w:val="1095" w:hRule="atLeast"/>
        </w:trPr>
        <w:tc>
          <w:tcPr>
            <w:tcW w:w="107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827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rPr>
                <w:rFonts w:ascii="宋体" w:hAnsi="宋体"/>
                <w:color w:val="000000"/>
                <w:kern w:val="0"/>
                <w:szCs w:val="21"/>
              </w:rPr>
            </w:pPr>
            <w:r>
              <w:rPr>
                <w:rFonts w:hint="eastAsia" w:ascii="宋体" w:hAnsi="宋体" w:cs="宋体"/>
                <w:color w:val="000000"/>
                <w:kern w:val="0"/>
                <w:szCs w:val="21"/>
              </w:rPr>
              <w:t>用于计划生育家庭奖励及计划生育特殊困难家庭的扶助：城市低保计生家庭扶助经费，计生家庭特别扶助经费、农村部分计生家庭奖励扶助经费、计划生育特殊困难家庭扶助关怀、独生子女保健费专项补助经费</w:t>
            </w:r>
          </w:p>
        </w:tc>
      </w:tr>
      <w:tr>
        <w:tblPrEx>
          <w:tblCellMar>
            <w:top w:w="15" w:type="dxa"/>
            <w:left w:w="108" w:type="dxa"/>
            <w:bottom w:w="15" w:type="dxa"/>
            <w:right w:w="108" w:type="dxa"/>
          </w:tblCellMar>
        </w:tblPrEx>
        <w:trPr>
          <w:trHeight w:val="1023" w:hRule="atLeast"/>
        </w:trPr>
        <w:tc>
          <w:tcPr>
            <w:tcW w:w="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年度绩效指标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317"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数量指标</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补助发放完成率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100</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特别扶助发放对象1875人，农村奖扶对象2150人，城市低保发放对象650人，独生子女保健费4000户，城镇独生子女奖励每月80元对象11800人，一次性奖励5000元的对象200人，春节慰问对1708人，救助120户，老年护理补贴1500人，失独家庭专项补助110户、医疗补助1875人。</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特别扶助发放对象1875人，农村奖扶对象2150人，城市低保发放对象650人，独生子女保健费4000户，城镇独生子女奖励每月80元对象11800人，一次性奖励5000元的对象200人，春节慰问对1708人，救助120户，老年护理补贴1500人，失独家庭专项补助110户、医疗补助1875人。</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r>
      <w:tr>
        <w:tblPrEx>
          <w:tblCellMar>
            <w:top w:w="15" w:type="dxa"/>
            <w:left w:w="108" w:type="dxa"/>
            <w:bottom w:w="15" w:type="dxa"/>
            <w:right w:w="108" w:type="dxa"/>
          </w:tblCellMar>
        </w:tblPrEx>
        <w:trPr>
          <w:trHeight w:val="747"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时效指标</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按时发放到位</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发放及时</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当年发放完毕</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按时发放到位</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419"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社会效益指标</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维护群众实行计划生育的合法权益，建立和完善计划生育利益导向机制，鼓励和引导群众自觉实行计划生育促进人口与经济社会协调、可持续发展。</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效果良好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维护群众实行计划生育的合法权益，建立和完善计划生育利益导向机制，鼓励和引导群众自觉实行计划生育促进人口与经济社会协调、可持续发展。</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维护群众实行计划生育的合法权益，建立和完善计划生育利益导向机制，鼓励和引导群众自觉实行计划生育促进人口与经济社会协调、可持续发展。</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6545"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成本指标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经济成本指标</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Cs w:val="21"/>
              </w:rPr>
            </w:pPr>
            <w:r>
              <w:rPr>
                <w:rFonts w:ascii="宋体" w:hAnsi="宋体" w:eastAsia="宋体" w:cs="宋体"/>
                <w:i w:val="0"/>
                <w:iCs w:val="0"/>
                <w:color w:val="000000"/>
                <w:kern w:val="0"/>
                <w:sz w:val="18"/>
                <w:szCs w:val="18"/>
                <w:u w:val="none"/>
                <w:lang w:val="en-US" w:eastAsia="zh-CN" w:bidi="ar"/>
              </w:rPr>
              <w:t>奖扶标准</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按标准发放</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计生特别扶助每人每年12600元，农村奖扶960元/年/人，城市低保每年600元/户，独生子女保健费每户每年240元，城镇独生子女父母奖励每人每月80元或一次性奖励5000元，对符合条件的计划生育特殊困难家庭每人春节慰问1000元，计划生育特殊困难家庭发生意外或生活出现重大困难时及时一次性救助每户2000元，对年满60周岁计划生育家庭特别扶助对象发放老年护理补贴每人每年2400元，对符合条件的失独家庭补助10000元或5000元。</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奖扶标准</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965"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Cs w:val="21"/>
              </w:rPr>
            </w:pPr>
            <w:r>
              <w:rPr>
                <w:rFonts w:ascii="宋体" w:hAnsi="宋体" w:eastAsia="宋体" w:cs="宋体"/>
                <w:i w:val="0"/>
                <w:iCs w:val="0"/>
                <w:color w:val="000000"/>
                <w:kern w:val="0"/>
                <w:sz w:val="18"/>
                <w:szCs w:val="18"/>
                <w:u w:val="none"/>
                <w:lang w:val="en-US" w:eastAsia="zh-CN" w:bidi="ar"/>
              </w:rPr>
              <w:t>被扶助对象满意度达90%以上</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90%</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被扶助对象满意度达90%以上</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被扶助对象满意度达90%以上</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百分比</w:t>
            </w:r>
          </w:p>
        </w:tc>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年城市园林绿化维护资金专项资金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314" w:tblpY="1101"/>
        <w:tblOverlap w:val="never"/>
        <w:tblW w:w="9863" w:type="dxa"/>
        <w:tblInd w:w="0" w:type="dxa"/>
        <w:tblLayout w:type="fixed"/>
        <w:tblCellMar>
          <w:top w:w="15" w:type="dxa"/>
          <w:left w:w="108" w:type="dxa"/>
          <w:bottom w:w="15" w:type="dxa"/>
          <w:right w:w="108" w:type="dxa"/>
        </w:tblCellMar>
      </w:tblPr>
      <w:tblGrid>
        <w:gridCol w:w="847"/>
        <w:gridCol w:w="759"/>
        <w:gridCol w:w="821"/>
        <w:gridCol w:w="1563"/>
        <w:gridCol w:w="1007"/>
        <w:gridCol w:w="1410"/>
        <w:gridCol w:w="2067"/>
        <w:gridCol w:w="679"/>
        <w:gridCol w:w="710"/>
      </w:tblGrid>
      <w:tr>
        <w:tblPrEx>
          <w:tblCellMar>
            <w:top w:w="15" w:type="dxa"/>
            <w:left w:w="108" w:type="dxa"/>
            <w:bottom w:w="15" w:type="dxa"/>
            <w:right w:w="108" w:type="dxa"/>
          </w:tblCellMar>
        </w:tblPrEx>
        <w:trPr>
          <w:trHeight w:val="618" w:hRule="atLeast"/>
        </w:trPr>
        <w:tc>
          <w:tcPr>
            <w:tcW w:w="16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825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城市园林绿化维护资金专项</w:t>
            </w:r>
          </w:p>
        </w:tc>
      </w:tr>
      <w:tr>
        <w:tblPrEx>
          <w:tblCellMar>
            <w:top w:w="15" w:type="dxa"/>
            <w:left w:w="108" w:type="dxa"/>
            <w:bottom w:w="15" w:type="dxa"/>
            <w:right w:w="108" w:type="dxa"/>
          </w:tblCellMar>
        </w:tblPrEx>
        <w:trPr>
          <w:trHeight w:val="603" w:hRule="atLeast"/>
        </w:trPr>
        <w:tc>
          <w:tcPr>
            <w:tcW w:w="16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825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天心区园林绿化维护中心</w:t>
            </w:r>
          </w:p>
        </w:tc>
      </w:tr>
      <w:tr>
        <w:tblPrEx>
          <w:tblCellMar>
            <w:top w:w="15" w:type="dxa"/>
            <w:left w:w="108" w:type="dxa"/>
            <w:bottom w:w="15" w:type="dxa"/>
            <w:right w:w="108" w:type="dxa"/>
          </w:tblCellMar>
        </w:tblPrEx>
        <w:trPr>
          <w:trHeight w:val="664" w:hRule="atLeast"/>
        </w:trPr>
        <w:tc>
          <w:tcPr>
            <w:tcW w:w="16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825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2227.2763万元</w:t>
            </w:r>
          </w:p>
        </w:tc>
      </w:tr>
      <w:tr>
        <w:tblPrEx>
          <w:tblCellMar>
            <w:top w:w="15" w:type="dxa"/>
            <w:left w:w="108" w:type="dxa"/>
            <w:bottom w:w="15" w:type="dxa"/>
            <w:right w:w="108" w:type="dxa"/>
          </w:tblCellMar>
        </w:tblPrEx>
        <w:trPr>
          <w:trHeight w:val="1886" w:hRule="atLeast"/>
        </w:trPr>
        <w:tc>
          <w:tcPr>
            <w:tcW w:w="1606"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8257"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对辖区内城市绿化进行有计划的展开维护管理，保持街道绿地完整的景观效果。 苗木绩效总体目标：1、严格苗木栽植流程，减少苗木栽植死亡率，成活控制率在95%以上。  2、完善采购、供货、验收流程，确保苗木供应数、质量。  3、完善各种台账，确保有据可查</w:t>
            </w:r>
          </w:p>
        </w:tc>
      </w:tr>
      <w:tr>
        <w:tblPrEx>
          <w:tblCellMar>
            <w:top w:w="15" w:type="dxa"/>
            <w:left w:w="108" w:type="dxa"/>
            <w:bottom w:w="15" w:type="dxa"/>
            <w:right w:w="108" w:type="dxa"/>
          </w:tblCellMar>
        </w:tblPrEx>
        <w:trPr>
          <w:trHeight w:val="890" w:hRule="atLeast"/>
        </w:trPr>
        <w:tc>
          <w:tcPr>
            <w:tcW w:w="847" w:type="dxa"/>
            <w:vMerge w:val="restart"/>
            <w:tcBorders>
              <w:top w:val="single" w:color="auto" w:sz="4" w:space="0"/>
              <w:left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940"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经济成本指标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预算安排资金（12）</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eastAsia="zh-CN"/>
              </w:rPr>
            </w:pPr>
            <w:r>
              <w:rPr>
                <w:rFonts w:ascii="宋体" w:hAnsi="宋体" w:eastAsia="宋体" w:cs="宋体"/>
                <w:i w:val="0"/>
                <w:iCs w:val="0"/>
                <w:color w:val="000000"/>
                <w:kern w:val="0"/>
                <w:sz w:val="18"/>
                <w:szCs w:val="18"/>
                <w:u w:val="none"/>
                <w:lang w:val="en-US" w:eastAsia="zh-CN" w:bidi="ar"/>
              </w:rPr>
              <w:t>年度预算2227.2763万元</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≤2227.2763万元</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按预算项目编制的范围，无新增业务，无新增维护面积，≤2227.2763万元，得满分，酌情计分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万元</w:t>
            </w:r>
          </w:p>
        </w:tc>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r>
      <w:tr>
        <w:tblPrEx>
          <w:tblCellMar>
            <w:top w:w="15" w:type="dxa"/>
            <w:left w:w="108" w:type="dxa"/>
            <w:bottom w:w="15" w:type="dxa"/>
            <w:right w:w="108" w:type="dxa"/>
          </w:tblCellMar>
        </w:tblPrEx>
        <w:trPr>
          <w:trHeight w:val="1193"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数量指标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园林绿化维护面积（12）</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eastAsia="zh-CN"/>
              </w:rPr>
            </w:pPr>
            <w:r>
              <w:rPr>
                <w:rFonts w:ascii="宋体" w:hAnsi="宋体" w:eastAsia="宋体" w:cs="宋体"/>
                <w:i w:val="0"/>
                <w:iCs w:val="0"/>
                <w:color w:val="000000"/>
                <w:kern w:val="0"/>
                <w:sz w:val="18"/>
                <w:szCs w:val="18"/>
                <w:u w:val="none"/>
                <w:lang w:val="en-US" w:eastAsia="zh-CN" w:bidi="ar"/>
              </w:rPr>
              <w:t>约545万平方米</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反映维护面积的情况</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酌情计分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平方米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1658"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质量指标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苗木存活率（14）</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eastAsia="zh-CN"/>
              </w:rPr>
            </w:pPr>
            <w:r>
              <w:rPr>
                <w:rFonts w:ascii="宋体" w:hAnsi="宋体" w:eastAsia="宋体" w:cs="宋体"/>
                <w:i w:val="0"/>
                <w:iCs w:val="0"/>
                <w:color w:val="000000"/>
                <w:kern w:val="0"/>
                <w:sz w:val="18"/>
                <w:szCs w:val="18"/>
                <w:u w:val="none"/>
                <w:lang w:val="en-US" w:eastAsia="zh-CN" w:bidi="ar"/>
              </w:rPr>
              <w:t>85</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反映日常补栽补种、解决黄土裸露等问题的情况</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确保补栽补种苗木及花卉品质合格率在85%以上得满分，每低于标准1%扣除0.2分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r>
      <w:tr>
        <w:tblPrEx>
          <w:tblCellMar>
            <w:top w:w="15" w:type="dxa"/>
            <w:left w:w="108" w:type="dxa"/>
            <w:bottom w:w="15" w:type="dxa"/>
            <w:right w:w="108" w:type="dxa"/>
          </w:tblCellMar>
        </w:tblPrEx>
        <w:trPr>
          <w:trHeight w:val="1673"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时效指标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任务完成及时率（12）</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eastAsia="zh-CN"/>
              </w:rPr>
            </w:pPr>
            <w:r>
              <w:rPr>
                <w:rFonts w:ascii="宋体" w:hAnsi="宋体" w:eastAsia="宋体" w:cs="宋体"/>
                <w:i w:val="0"/>
                <w:iCs w:val="0"/>
                <w:color w:val="000000"/>
                <w:kern w:val="0"/>
                <w:sz w:val="18"/>
                <w:szCs w:val="18"/>
                <w:u w:val="none"/>
                <w:lang w:val="en-US" w:eastAsia="zh-CN" w:bidi="ar"/>
              </w:rPr>
              <w:t>85</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反映保障绿化维护工作完成的时限要求</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各绿化维护工作完成及时率达到85%以上得满分，每低于标准1%扣除0.2分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r>
      <w:tr>
        <w:tblPrEx>
          <w:tblCellMar>
            <w:top w:w="15" w:type="dxa"/>
            <w:left w:w="108" w:type="dxa"/>
            <w:bottom w:w="15" w:type="dxa"/>
            <w:right w:w="108" w:type="dxa"/>
          </w:tblCellMar>
        </w:tblPrEx>
        <w:trPr>
          <w:trHeight w:val="1763"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生态效益指标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提升城市绿化覆盖率，改善环境气候条件，净化空气质量（15）</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效果良好</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反映园林绿化给城市带来的生态效益情况</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效果良好得15分、效果一般扣0.2分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387"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社会效益指标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保持城区公共绿化完整</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效果良好</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反映园林绿化给城市带来的社会效益情况</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效果良好得15分、效果一般扣0.2分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3388" w:hRule="atLeast"/>
        </w:trPr>
        <w:tc>
          <w:tcPr>
            <w:tcW w:w="84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满意度指标</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社会公众的满意度（10）</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85</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反映社会公众对园林绿化的满意度</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满意度≥85%得满分、小于85%且大于等于80%扣0.2分，小于80%且大于等于75%扣0.4分、小于75%且大于等于70%扣0.6分、小于70%且大于等于65%扣0.8分、小于65%且大于等于60%扣1分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w:t>
            </w:r>
          </w:p>
        </w:tc>
      </w:tr>
    </w:tbl>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65"/>
        </w:tabs>
        <w:bidi w:val="0"/>
        <w:jc w:val="left"/>
        <w:rPr>
          <w:rFonts w:hint="eastAsia"/>
          <w:lang w:val="en-US" w:eastAsia="zh-CN"/>
        </w:rPr>
      </w:pPr>
      <w:r>
        <w:rPr>
          <w:rFonts w:hint="eastAsia"/>
          <w:lang w:val="en-US" w:eastAsia="zh-CN"/>
        </w:rPr>
        <w:tab/>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auto"/>
          <w:kern w:val="0"/>
          <w:sz w:val="44"/>
          <w:szCs w:val="44"/>
        </w:rPr>
        <w:t>2</w:t>
      </w:r>
      <w:r>
        <w:rPr>
          <w:rFonts w:hint="eastAsia" w:ascii="宋体" w:hAnsi="宋体" w:eastAsia="方正小标宋简体" w:cs="宋体"/>
          <w:color w:val="000000"/>
          <w:kern w:val="0"/>
          <w:sz w:val="44"/>
          <w:szCs w:val="44"/>
        </w:rPr>
        <w:t>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年学前教育经费专项资金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342"/>
        <w:gridCol w:w="1580"/>
        <w:gridCol w:w="1450"/>
        <w:gridCol w:w="1283"/>
        <w:gridCol w:w="597"/>
        <w:gridCol w:w="616"/>
      </w:tblGrid>
      <w:tr>
        <w:tblPrEx>
          <w:tblCellMar>
            <w:top w:w="15" w:type="dxa"/>
            <w:left w:w="108" w:type="dxa"/>
            <w:bottom w:w="15" w:type="dxa"/>
            <w:right w:w="108" w:type="dxa"/>
          </w:tblCellMar>
        </w:tblPrEx>
        <w:trPr>
          <w:trHeight w:val="52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学前教育经费专项</w:t>
            </w:r>
          </w:p>
        </w:tc>
      </w:tr>
      <w:tr>
        <w:tblPrEx>
          <w:tblCellMar>
            <w:top w:w="15" w:type="dxa"/>
            <w:left w:w="108" w:type="dxa"/>
            <w:bottom w:w="15" w:type="dxa"/>
            <w:right w:w="108" w:type="dxa"/>
          </w:tblCellMar>
        </w:tblPrEx>
        <w:trPr>
          <w:trHeight w:val="55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天心区教育局</w:t>
            </w:r>
          </w:p>
        </w:tc>
      </w:tr>
      <w:tr>
        <w:tblPrEx>
          <w:tblCellMar>
            <w:top w:w="15" w:type="dxa"/>
            <w:left w:w="108" w:type="dxa"/>
            <w:bottom w:w="15" w:type="dxa"/>
            <w:right w:w="108" w:type="dxa"/>
          </w:tblCellMar>
        </w:tblPrEx>
        <w:trPr>
          <w:trHeight w:val="484"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1713.237万元</w:t>
            </w:r>
          </w:p>
        </w:tc>
      </w:tr>
      <w:tr>
        <w:tblPrEx>
          <w:tblCellMar>
            <w:top w:w="15" w:type="dxa"/>
            <w:left w:w="108" w:type="dxa"/>
            <w:bottom w:w="15" w:type="dxa"/>
            <w:right w:w="108" w:type="dxa"/>
          </w:tblCellMar>
        </w:tblPrEx>
        <w:trPr>
          <w:trHeight w:val="1199"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持续推进学前教育改革发展，着力解决“入公办园难、入民办园贵”等问题，确保幼有所育。</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47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经济成本指标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按文件标准执行</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500</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困难幼儿补助500元/期/人,免费课程资源40元/人</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未达标准扣0.1分，达到标准不扣分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元/人/期</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158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根据政策要求对幼儿园及普惠性进行补助。</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600-1200</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按照文件要求对一、二、三、四级普惠性幼儿园进行补助</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达到标准不扣分，未达标准扣0.1分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元/生/年</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2554"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社会效益指标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引导和支持民办公办幼儿园提供给大众的普惠性服务，缓解群众幼儿就学难，学费贵的压力。</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效果显著</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引导和支持民办公办幼儿园提供给大众的普惠性服务，缓解群众幼儿就学难，学费贵的压力。</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达到标准不扣分，未达标准扣0.1分。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4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满意度</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80</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学生及家长满意度</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达到标准不扣分，未达标准扣0.1分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r>
    </w:tbl>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年机械化作业专项资金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342"/>
        <w:gridCol w:w="726"/>
        <w:gridCol w:w="1468"/>
        <w:gridCol w:w="1990"/>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机械化作业专项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天心区市容环境卫生维护中心</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4096.86万元</w:t>
            </w:r>
          </w:p>
        </w:tc>
      </w:tr>
      <w:tr>
        <w:tblPrEx>
          <w:tblCellMar>
            <w:top w:w="15" w:type="dxa"/>
            <w:left w:w="108" w:type="dxa"/>
            <w:bottom w:w="15" w:type="dxa"/>
            <w:right w:w="108" w:type="dxa"/>
          </w:tblCellMar>
        </w:tblPrEx>
        <w:trPr>
          <w:trHeight w:val="2555"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道路冲洒水：车辆车容整齐。标识清晰。车体外无污物、污垢；按照规定时段、区域进行冲洗、喷雾降尘作业，避免影响交通；冲洗效果彻底、路沿石、安全岛、道路交通标线、中央隔离标线及路面见底色、无明显积灰积泥。道路机械化清扫:车辆车容整齐，标识清晰。车体外无污物、污垢；机扫（洗）按照规定时段、区域作业、避免影响交通；作业效果良好、道路无积尘、积泥、积沙，无漏洗痕迹，无积水，路边石净，路面净，中间护栏底洁净。生生活垃圾运输：车辆车容整齐，标识清晰。车体外无污物、污垢；全面实施密闭化运输，运输途中无垃圾飘撒、污水滴漏现象；运输及时，确保全年30万吨生活垃圾及时转运、不得导致垃圾站（点）垃圾围澎溢。</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2257"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生态效益指标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《天心区市容环境维护中心精细化维护作业绩效考核办法》，酌情计分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好、一般、差</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通过机械化作业，降低路面含尘量，进一步提高空气质量和市容环境清洁度。</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按照区蓝天办考核标准考核，达到标准好得30分，一般扣0.5分，差扣1分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896"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质量指标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通过机械化作业，一方面提高环卫维护作业质量水平，一方面降低环卫人工作业劳动强度和安全风险。</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符合考核办法规定</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通过机械化作业，一方面提高环卫维护作业质量水平，一方面降低环卫人工作业劳动强度和安全风险。</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《天心区市容环境卫生维护中心精细化维护作业绩效考核办法》达到标准得10分，未达到扣0.5分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007"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数量指标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道路机械化清扫率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90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道路机械化清扫率达到90%以上</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达到标准得20分，每下降10%扣0.5分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台</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153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社会满意度</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75</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反映机械化社会满意度</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达到75%得10分，每下降10%扣0.5分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6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成本指标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经济成本指标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Cs w:val="21"/>
              </w:rPr>
            </w:pPr>
            <w:r>
              <w:rPr>
                <w:rFonts w:ascii="宋体" w:hAnsi="宋体" w:eastAsia="宋体" w:cs="宋体"/>
                <w:i w:val="0"/>
                <w:iCs w:val="0"/>
                <w:color w:val="000000"/>
                <w:kern w:val="0"/>
                <w:sz w:val="18"/>
                <w:szCs w:val="18"/>
                <w:u w:val="none"/>
                <w:lang w:val="en-US" w:eastAsia="zh-CN" w:bidi="ar"/>
              </w:rPr>
              <w:t>严格按照预算资金安排保障工作</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rPr>
            </w:pPr>
            <w:r>
              <w:rPr>
                <w:rFonts w:ascii="宋体" w:hAnsi="宋体" w:eastAsia="宋体" w:cs="宋体"/>
                <w:i w:val="0"/>
                <w:iCs w:val="0"/>
                <w:color w:val="000000"/>
                <w:kern w:val="0"/>
                <w:sz w:val="18"/>
                <w:szCs w:val="18"/>
                <w:u w:val="none"/>
                <w:lang w:val="en-US" w:eastAsia="zh-CN" w:bidi="ar"/>
              </w:rPr>
              <w:t>不超过4096.8629</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严格按照预算资金安排保障工作</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无新增业务量或政策性调资的情况下不超过预算得20分，超过扣0.5分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万元</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bl>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widowControl/>
        <w:spacing w:line="600" w:lineRule="exact"/>
        <w:jc w:val="center"/>
        <w:rPr>
          <w:rFonts w:hint="eastAsia" w:ascii="宋体" w:hAnsi="宋体" w:eastAsia="方正小标宋简体" w:cs="宋体"/>
          <w:color w:val="000000"/>
          <w:kern w:val="0"/>
          <w:sz w:val="44"/>
          <w:szCs w:val="44"/>
          <w:lang w:val="en-US" w:eastAsia="zh-CN"/>
        </w:rPr>
      </w:pPr>
    </w:p>
    <w:p>
      <w:pPr>
        <w:bidi w:val="0"/>
        <w:rPr>
          <w:rFonts w:hint="eastAsia" w:ascii="Times New Roman" w:hAnsi="Times New Roman" w:eastAsia="宋体" w:cs="Times New Roman"/>
          <w:kern w:val="2"/>
          <w:sz w:val="21"/>
          <w:szCs w:val="24"/>
          <w:lang w:val="en-US" w:eastAsia="zh-CN" w:bidi="ar-SA"/>
        </w:rPr>
      </w:pPr>
    </w:p>
    <w:p>
      <w:pPr>
        <w:widowControl/>
        <w:spacing w:line="600" w:lineRule="exact"/>
        <w:jc w:val="center"/>
        <w:rPr>
          <w:rFonts w:hint="eastAsia" w:ascii="宋体" w:hAnsi="宋体" w:eastAsia="方正小标宋简体" w:cs="宋体"/>
          <w:color w:val="auto"/>
          <w:kern w:val="0"/>
          <w:sz w:val="44"/>
          <w:szCs w:val="44"/>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auto"/>
          <w:kern w:val="0"/>
          <w:sz w:val="44"/>
          <w:szCs w:val="44"/>
        </w:rPr>
        <w:t>2</w:t>
      </w:r>
      <w:r>
        <w:rPr>
          <w:rFonts w:hint="eastAsia" w:ascii="宋体" w:hAnsi="宋体" w:eastAsia="方正小标宋简体" w:cs="宋体"/>
          <w:color w:val="000000"/>
          <w:kern w:val="0"/>
          <w:sz w:val="44"/>
          <w:szCs w:val="44"/>
        </w:rPr>
        <w:t>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年健康民生专项资金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725"/>
        <w:gridCol w:w="2170"/>
        <w:gridCol w:w="1620"/>
        <w:gridCol w:w="1005"/>
        <w:gridCol w:w="843"/>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健康民生专项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天心区妇幼保健所</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624.41万元</w:t>
            </w:r>
          </w:p>
        </w:tc>
      </w:tr>
      <w:tr>
        <w:tblPrEx>
          <w:tblCellMar>
            <w:top w:w="15" w:type="dxa"/>
            <w:left w:w="108" w:type="dxa"/>
            <w:bottom w:w="15" w:type="dxa"/>
            <w:right w:w="108" w:type="dxa"/>
          </w:tblCellMar>
        </w:tblPrEx>
        <w:trPr>
          <w:trHeight w:val="1465"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符合条件的对象免费接受检测服务，且各级政府更加重视出生缺陷预防工作，相关部门密切配合，建立“政府主导、部门合作、专家支撑、群众参与”的工作机制，出生缺陷发生风险逐步降低，出生人口素质逐步提高，妇女两癌发生率逐步降低，妇女生殖健康水平逐年提升。</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924"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lang w:eastAsia="zh-CN"/>
              </w:rPr>
              <w:t>效益</w:t>
            </w:r>
            <w:r>
              <w:rPr>
                <w:rFonts w:hint="eastAsia" w:ascii="宋体" w:hAnsi="宋体" w:cs="宋体"/>
                <w:color w:val="000000"/>
                <w:kern w:val="0"/>
                <w:szCs w:val="21"/>
              </w:rPr>
              <w:t>指标</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社会效益指标</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降低出生缺陷率，提高人口素质，对适龄妇女两癌做到早检测，早发现，早治疗，提高家庭幸福指数</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效果良好</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用于反映项目的社会效益，提高家庭幸福指数</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效果良好得满分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1"/>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10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经济效益指标</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对符合生育政策、计划怀孕夫妇免费检查达到预防为主，避免出生缺陷，通过疾病筛查减少出生缺陷，减少各家庭医疗成本</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效果良好</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用于反映项目的经济效益，减少医疗成本</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日</w:t>
            </w:r>
          </w:p>
        </w:tc>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1"/>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30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产出指标</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质量指标</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每位孕妇免费接受一次夫创产前基因检测项目，每位新生儿免费接受一次耳聋基因检测、新生儿疾病筛查，每位适龄妇女免费接受一次两癌筛查，符合条件的孕妇接受一次免费产前筛查，新生儿先天性心脏病筛查</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效果良好</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用于反映健康民生项目产出质量</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效果良好得满分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0"/>
                <w:sz w:val="21"/>
                <w:szCs w:val="21"/>
                <w:lang w:val="en-US" w:eastAsia="zh-CN"/>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300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数量指标</w:t>
            </w:r>
          </w:p>
        </w:tc>
        <w:tc>
          <w:tcPr>
            <w:tcW w:w="2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先天性心脏病筛查4100人、无创产前基因检测8000人、耳聋基因、新生儿疾病筛查、免费产前筛查任务目标6000人，两癌筛查10000人</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先天性心脏病筛查4100人、无创产前基因检测8000人、耳聋基因、新生儿疾病筛查、免费产前筛查任务目标6000人，两癌筛查10000人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反映健康民生项目数量目标</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完成数量每低于目标人数5%，扣1分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人数</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
    <w:p/>
    <w:p/>
    <w:p/>
    <w:p/>
    <w:p/>
    <w:p/>
    <w:p/>
    <w:p/>
    <w:p/>
    <w:p/>
    <w:p/>
    <w:p/>
    <w:p/>
    <w:p/>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年站厕维护专项资金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443"/>
        <w:gridCol w:w="690"/>
        <w:gridCol w:w="2340"/>
        <w:gridCol w:w="1053"/>
        <w:gridCol w:w="726"/>
        <w:gridCol w:w="616"/>
      </w:tblGrid>
      <w:tr>
        <w:tblPrEx>
          <w:tblCellMar>
            <w:top w:w="15" w:type="dxa"/>
            <w:left w:w="108" w:type="dxa"/>
            <w:bottom w:w="15" w:type="dxa"/>
            <w:right w:w="108" w:type="dxa"/>
          </w:tblCellMar>
        </w:tblPrEx>
        <w:trPr>
          <w:trHeight w:val="363"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站厕维护专项</w:t>
            </w:r>
          </w:p>
        </w:tc>
      </w:tr>
      <w:tr>
        <w:tblPrEx>
          <w:tblCellMar>
            <w:top w:w="15" w:type="dxa"/>
            <w:left w:w="108" w:type="dxa"/>
            <w:bottom w:w="15" w:type="dxa"/>
            <w:right w:w="108" w:type="dxa"/>
          </w:tblCellMar>
        </w:tblPrEx>
        <w:trPr>
          <w:trHeight w:val="37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天心区市容环境卫生维护中心</w:t>
            </w:r>
          </w:p>
        </w:tc>
      </w:tr>
      <w:tr>
        <w:tblPrEx>
          <w:tblCellMar>
            <w:top w:w="15" w:type="dxa"/>
            <w:left w:w="108" w:type="dxa"/>
            <w:bottom w:w="15" w:type="dxa"/>
            <w:right w:w="108" w:type="dxa"/>
          </w:tblCellMar>
        </w:tblPrEx>
        <w:trPr>
          <w:trHeight w:val="394"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1211.8万元</w:t>
            </w:r>
          </w:p>
        </w:tc>
      </w:tr>
      <w:tr>
        <w:tblPrEx>
          <w:tblCellMar>
            <w:top w:w="15" w:type="dxa"/>
            <w:left w:w="108" w:type="dxa"/>
            <w:bottom w:w="15" w:type="dxa"/>
            <w:right w:w="108" w:type="dxa"/>
          </w:tblCellMar>
        </w:tblPrEx>
        <w:trPr>
          <w:trHeight w:val="1752"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确保136座公共卫生间标识标牌、设施设备完好无破损，周边及室内洁净整齐无堆物，地面、墙面、窗台、蹲坑、座盆、小便池裙、小便池台无污物、便迹、尿垢、无明显牛皮癣、蛛网、无白色垃圾、无明显积灰；127座公共垃圾站标识标牌、设施设备完好无破损、无障碍，周边及室内洁净整齐无堆物，站内无明显牛皮癣、蛛网、箱体无明显污物、起落架无明显积灰、坑内无大量积存污水、无明显垃圾、地面、墙面及窗台无明显积灰、垃圾清运及时，无爆棚现象。</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68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生态效益指标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提高公共厕所和公共垃圾站洁净度，为广大市民创造优美度环境</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好、一般、差</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用以反映服务对象对站厕维护管理和日常维护的满意度</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达到标准好得30分，一般扣0.5分，差扣1分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5484"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公共厕所、公共垃圾站的管理和维护质量</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符合考核办法规定</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公共卫生间标识标牌、设施设备完好无破损，周边及室内洁净整齐无堆物，地面、墙面、窗台、蹲坑、座盆、小便池裙、小便池台无污物、便迹、尿垢、无明显牛皮癣、蛛网、无白色垃圾、无明显积灰；127座公共垃圾站标识标牌、设施设备完好无破损、无障碍，周边及室内洁净整齐无堆物，站内无明显牛皮癣、蛛网、箱体无明显污物、起落架无明显积灰、坑内无大量积存污水、无明显垃圾、地面、墙面及窗台无明显积灰、垃圾清运及时，无爆棚现象。</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《天心区市容环境卫生维护中心精细化维护作业绩效考核办法》达到标准得10分，未达到扣0.5分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84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数量指标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公共厕所、公共垃圾站的管理和维护数</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263</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全区127座公共垃圾站、136座公共厕所的管理维护和新建站厕、环卫工人休息室等环卫设施的改造与建设、负责全区47个地下通道、1座车行通道、9座人行天桥的管理和日常维护</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《天心区市容环境维护中心精细化维护作业绩效考核办法》达到标准得10分，每减少一座扣0.1分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座</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141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社会满意度</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75</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用以反映服务对象对站厕维护管理和日常维护的满意度</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达到75%得10分，每下降10%扣0.5分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4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成本指标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生态效益指标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提高公共厕所和公共垃圾站洁净度，为广大市民创造优美度环境</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好、一般、差</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用以反映服务对象对站厕维护管理和日常维护的满意度</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达到标准好得30分，一般扣0.5分，差扣1分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bl>
    <w:p>
      <w:pPr>
        <w:widowControl/>
        <w:spacing w:line="600" w:lineRule="exact"/>
        <w:jc w:val="center"/>
        <w:rPr>
          <w:rFonts w:hint="eastAsia" w:ascii="宋体" w:hAnsi="宋体" w:eastAsia="方正小标宋简体" w:cs="宋体"/>
          <w:color w:val="000000"/>
          <w:kern w:val="0"/>
          <w:sz w:val="44"/>
          <w:szCs w:val="44"/>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auto"/>
          <w:kern w:val="0"/>
          <w:sz w:val="44"/>
          <w:szCs w:val="44"/>
        </w:rPr>
        <w:t>2</w:t>
      </w:r>
      <w:r>
        <w:rPr>
          <w:rFonts w:hint="eastAsia" w:ascii="宋体" w:hAnsi="宋体" w:eastAsia="方正小标宋简体" w:cs="宋体"/>
          <w:color w:val="000000"/>
          <w:kern w:val="0"/>
          <w:sz w:val="44"/>
          <w:szCs w:val="44"/>
        </w:rPr>
        <w:t>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年餐厨垃圾收运全覆盖专项资金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342"/>
        <w:gridCol w:w="726"/>
        <w:gridCol w:w="1468"/>
        <w:gridCol w:w="1990"/>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餐厨垃圾收运全覆盖专项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天心区城市管理和综合执法局</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804万元</w:t>
            </w:r>
          </w:p>
        </w:tc>
      </w:tr>
      <w:tr>
        <w:tblPrEx>
          <w:tblCellMar>
            <w:top w:w="15" w:type="dxa"/>
            <w:left w:w="108" w:type="dxa"/>
            <w:bottom w:w="15" w:type="dxa"/>
            <w:right w:w="108" w:type="dxa"/>
          </w:tblCellMar>
        </w:tblPrEx>
        <w:trPr>
          <w:trHeight w:val="1551"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实现餐厨垃圾有序收集，减少环境污染，实现市容美观，维持社会可持续发展，实现小散门店餐厨垃圾全收运</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39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数量指标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小散餐厨收集率（30分）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100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实现餐厨垃圾有序收集</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小散餐厨收集率每低一个百分点扣1分，扣满10分为止。</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1835"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验收合格率（30分）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100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餐厨垃圾收运工作验收合格率</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合格率100%得满分，每降低1%扣0.1分。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82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生态效益指标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集中收集点环境卫生整洁（20分）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是</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考核餐厨垃圾清运产生的效益</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集中收集点周围环境干净整洁，无积存餐厨垃圾得满分，否则酌情扣分。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次</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87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市民满意度（10分）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80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市民对餐厨垃圾收运满意度情况</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满意度小于80%酌情扣分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年道路维护专项资金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272"/>
        <w:gridCol w:w="1233"/>
        <w:gridCol w:w="1917"/>
        <w:gridCol w:w="1104"/>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道路维护专项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天心区市政设施维护中心</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672.57万元</w:t>
            </w:r>
          </w:p>
        </w:tc>
      </w:tr>
      <w:tr>
        <w:tblPrEx>
          <w:tblCellMar>
            <w:top w:w="15" w:type="dxa"/>
            <w:left w:w="108" w:type="dxa"/>
            <w:bottom w:w="15" w:type="dxa"/>
            <w:right w:w="108" w:type="dxa"/>
          </w:tblCellMar>
        </w:tblPrEx>
        <w:trPr>
          <w:trHeight w:val="1254"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负责区域内市政设施的安全、品质运行情况、日常巡查、问题交办、督办和登记备案。</w:t>
            </w:r>
          </w:p>
        </w:tc>
      </w:tr>
      <w:tr>
        <w:tblPrEx>
          <w:tblCellMar>
            <w:top w:w="15" w:type="dxa"/>
            <w:left w:w="108" w:type="dxa"/>
            <w:bottom w:w="15" w:type="dxa"/>
            <w:right w:w="108" w:type="dxa"/>
          </w:tblCellMar>
        </w:tblPrEx>
        <w:trPr>
          <w:trHeight w:val="1370"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53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时效指标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处置数字化信息（10）</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一周内</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及时处置数字化信息平台工作任务</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处置及时得满分；不及时酌情扣分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周</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1624"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沥青道路维护保养质量达标率（15）</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100</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沥青路面维护保养质量达标率达到100%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质量达标得满分；质量不达标酌情扣分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524"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21"/>
                <w:szCs w:val="21"/>
                <w:u w:val="none"/>
                <w:lang w:val="en-US" w:eastAsia="zh-CN" w:bidi="ar"/>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18"/>
                <w:szCs w:val="18"/>
                <w:u w:val="none"/>
                <w:lang w:val="en-US" w:eastAsia="zh-CN" w:bidi="ar"/>
              </w:rPr>
              <w:t>数量指标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全区沥青道路维护保养工作（15）</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755</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全区沥青路面维护保养工作处置</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处置及时得满分；不及时酌情扣分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条</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2475"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社会效益指标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全面提升中心道路维护保障水平，保障市民出行安全。（30）</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效果良好；效果一般；效果不明显</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全面提升中心道路维护保障水平，保障市民出行安全。</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效果良好得满分；效果一般扣0.2分；效果不明显扣0.5分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无</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730"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群众满意度（10）</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85</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群众满意度85%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达到标准得满分，未达到扣0.1分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无</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276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成本指标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经济成本指标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全区755条主次干道、支路、支巷的维护管理经费开支情况不超过6725748元。（10）</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≤6725748</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全区755条主次干道、支路、支巷的维护管理经费开支情况不超过6725748元。</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达到标准得满分，超过1%扣0.1分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元</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bl>
    <w:p>
      <w:pPr>
        <w:widowControl/>
        <w:spacing w:line="600" w:lineRule="exact"/>
        <w:jc w:val="center"/>
        <w:rPr>
          <w:rFonts w:hint="eastAsia" w:ascii="宋体" w:hAnsi="宋体" w:eastAsia="方正小标宋简体" w:cs="宋体"/>
          <w:color w:val="000000"/>
          <w:kern w:val="0"/>
          <w:sz w:val="44"/>
          <w:szCs w:val="44"/>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年残疾人就业保障金-康复支出</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专项资金绩效目标表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668"/>
        <w:gridCol w:w="1035"/>
        <w:gridCol w:w="1620"/>
        <w:gridCol w:w="1005"/>
        <w:gridCol w:w="705"/>
        <w:gridCol w:w="835"/>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残疾人就业保障金-康复支出专项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天心区残疾人联合会</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465.5万元</w:t>
            </w:r>
          </w:p>
        </w:tc>
      </w:tr>
      <w:tr>
        <w:tblPrEx>
          <w:tblCellMar>
            <w:top w:w="15" w:type="dxa"/>
            <w:left w:w="108" w:type="dxa"/>
            <w:bottom w:w="15" w:type="dxa"/>
            <w:right w:w="108" w:type="dxa"/>
          </w:tblCellMar>
        </w:tblPrEx>
        <w:trPr>
          <w:trHeight w:val="1456"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一是扩大康复服务范围，实施好光明关爱、辅助器具适配、0-17岁残疾儿童少年康复救助等重点康复工程。完成好省、市重点康复项目工作；二是加大社区康复服务设施建设</w:t>
            </w:r>
          </w:p>
        </w:tc>
      </w:tr>
      <w:tr>
        <w:tblPrEx>
          <w:tblCellMar>
            <w:top w:w="15" w:type="dxa"/>
            <w:left w:w="108" w:type="dxa"/>
            <w:bottom w:w="15" w:type="dxa"/>
            <w:right w:w="108" w:type="dxa"/>
          </w:tblCellMar>
        </w:tblPrEx>
        <w:trPr>
          <w:trHeight w:val="848"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12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时效指标</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根据项目协议，及时拨付款项</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及时审批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根据项目协议，及时拨付款项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超时审批扣0.1分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1"/>
                <w:szCs w:val="21"/>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941"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质量指标</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实施好光明关爱、辅助器具适配、0-17岁残疾儿童少年康复救助等重点康复工程。保障康复救助工作按时、按量、按质落实到位</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应保尽保</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实施好光明关爱、辅助器具适配、0-14岁残疾儿童少年康复救助等重点康复工程。保障康复救助工作按时、按量、按质落实到位</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审批未按时、按量1人，扣0.1分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1"/>
                <w:szCs w:val="21"/>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707"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社会效益指标</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健全残疾人康复体系，满足残疾人及其家庭日益增长的康复需求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有效开展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健全残疾人康复体系，满足残疾人及其家庭日益增长的康复需求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健全残疾人康复体系，满足残疾人及其家庭日益增长的康复需求</w:t>
            </w:r>
          </w:p>
        </w:tc>
        <w:tc>
          <w:tcPr>
            <w:tcW w:w="7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0"/>
                <w:sz w:val="21"/>
                <w:szCs w:val="21"/>
                <w:lang w:val="en-US" w:eastAsia="zh-CN"/>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295"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000000"/>
                <w:kern w:val="0"/>
                <w:sz w:val="21"/>
                <w:szCs w:val="21"/>
              </w:rPr>
            </w:pPr>
            <w:r>
              <w:rPr>
                <w:rFonts w:ascii="宋体" w:hAnsi="宋体" w:eastAsia="宋体" w:cs="宋体"/>
                <w:i w:val="0"/>
                <w:iCs w:val="0"/>
                <w:color w:val="000000"/>
                <w:kern w:val="0"/>
                <w:sz w:val="18"/>
                <w:szCs w:val="18"/>
                <w:u w:val="none"/>
                <w:lang w:val="en-US" w:eastAsia="zh-CN" w:bidi="ar"/>
              </w:rPr>
              <w:t>服务对象满意度指标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0-14岁残疾儿童康复训练项目服务成效</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满意度达90%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0-14岁残疾儿童康复训练项目满意度达90%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每低于5%扣0.1分</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百分比</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定量</w:t>
            </w:r>
          </w:p>
        </w:tc>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服务对象满意度指标</w:t>
            </w:r>
          </w:p>
        </w:tc>
      </w:tr>
      <w:tr>
        <w:tblPrEx>
          <w:tblCellMar>
            <w:top w:w="15" w:type="dxa"/>
            <w:left w:w="108" w:type="dxa"/>
            <w:bottom w:w="15" w:type="dxa"/>
            <w:right w:w="108" w:type="dxa"/>
          </w:tblCellMar>
        </w:tblPrEx>
        <w:trPr>
          <w:trHeight w:val="3076" w:hRule="atLeast"/>
        </w:trPr>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Cs w:val="21"/>
              </w:rPr>
            </w:pPr>
            <w:r>
              <w:rPr>
                <w:rFonts w:ascii="宋体" w:hAnsi="宋体" w:eastAsia="宋体" w:cs="宋体"/>
                <w:i w:val="0"/>
                <w:iCs w:val="0"/>
                <w:color w:val="000000"/>
                <w:kern w:val="0"/>
                <w:sz w:val="18"/>
                <w:szCs w:val="18"/>
                <w:u w:val="none"/>
                <w:lang w:val="en-US" w:eastAsia="zh-CN" w:bidi="ar"/>
              </w:rPr>
              <w:t>经济成本指标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000000"/>
                <w:kern w:val="0"/>
                <w:sz w:val="21"/>
                <w:szCs w:val="21"/>
              </w:rPr>
            </w:pPr>
            <w:r>
              <w:rPr>
                <w:rFonts w:ascii="宋体" w:hAnsi="宋体" w:eastAsia="宋体" w:cs="宋体"/>
                <w:i w:val="0"/>
                <w:iCs w:val="0"/>
                <w:color w:val="000000"/>
                <w:kern w:val="0"/>
                <w:sz w:val="18"/>
                <w:szCs w:val="18"/>
                <w:u w:val="none"/>
                <w:lang w:val="en-US" w:eastAsia="zh-CN" w:bidi="ar"/>
              </w:rPr>
              <w:t>0-14岁残疾儿童康复训练完成300名</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完成300名。具体任务数依据省、市区当年文件要求</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对湖南省内残疾儿童康复训练补贴人员300名</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少一人扣0.1分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经济成本指标</w:t>
            </w:r>
          </w:p>
        </w:tc>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0-14岁残疾儿童康复训练完成300名</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
    <w:p/>
    <w:p/>
    <w:p/>
    <w:p/>
    <w:p/>
    <w:p/>
    <w:p/>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3</w:t>
      </w:r>
      <w:r>
        <w:rPr>
          <w:rFonts w:hint="eastAsia" w:ascii="宋体" w:hAnsi="宋体" w:eastAsia="方正小标宋简体" w:cs="宋体"/>
          <w:color w:val="000000"/>
          <w:kern w:val="0"/>
          <w:sz w:val="44"/>
          <w:szCs w:val="44"/>
        </w:rPr>
        <w:t>年人工清扫保洁专项资金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098"/>
        <w:gridCol w:w="1080"/>
        <w:gridCol w:w="2115"/>
        <w:gridCol w:w="1233"/>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人工清扫保洁专项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天心区市容环境卫生维护中心</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5678.89万元</w:t>
            </w:r>
          </w:p>
        </w:tc>
      </w:tr>
      <w:tr>
        <w:tblPrEx>
          <w:tblCellMar>
            <w:top w:w="15" w:type="dxa"/>
            <w:left w:w="108" w:type="dxa"/>
            <w:bottom w:w="15" w:type="dxa"/>
            <w:right w:w="108" w:type="dxa"/>
          </w:tblCellMar>
        </w:tblPrEx>
        <w:trPr>
          <w:trHeight w:val="1850"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道路人工清扫保洁工作。确保全区721.3万平方米主次干道、无裸露垃圾及废弃物，无积水，无积存泥沙，无积存油渍污渍；主次干道延线果皮垃圾桶设置间距符合规范，完好整洁，无澎溢现象，无明显污物，无痰迹，无功能性障碍、损坏、基础松动、歪斜；地下通道（天桥）整体洁净完好，地面、顶棚、天花板、墙壁、立面无明显积灰，无积水，物品对方整齐，无乱贴乱画；路面牌牌面、立杆洁净，无明显污渍。</w:t>
            </w:r>
          </w:p>
        </w:tc>
      </w:tr>
      <w:tr>
        <w:tblPrEx>
          <w:tblCellMar>
            <w:top w:w="15" w:type="dxa"/>
            <w:left w:w="108" w:type="dxa"/>
            <w:bottom w:w="15" w:type="dxa"/>
            <w:right w:w="108" w:type="dxa"/>
          </w:tblCellMar>
        </w:tblPrEx>
        <w:trPr>
          <w:trHeight w:val="90"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297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数量指标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主次干道人工清扫保洁面积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721.3万</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用以反映和考核责任范围内主次干道维护面积</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《天心区市容环境卫生维护中心精细化维护作业绩效考核办法》达到标准得10分，未达到扣0.5分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平方米</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定量</w:t>
            </w:r>
          </w:p>
        </w:tc>
      </w:tr>
      <w:tr>
        <w:tblPrEx>
          <w:tblCellMar>
            <w:top w:w="15" w:type="dxa"/>
            <w:left w:w="108" w:type="dxa"/>
            <w:bottom w:w="15" w:type="dxa"/>
            <w:right w:w="108" w:type="dxa"/>
          </w:tblCellMar>
        </w:tblPrEx>
        <w:trPr>
          <w:trHeight w:val="115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质量指标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主次干道人工清扫保洁质量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符合考核办法规定</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主次干道、无裸露垃圾及废弃物，无积水，无积存泥沙，无积存油渍污渍；主次干道延线果皮垃圾桶设置间距符合规范，完好整洁，无澎溢现象，无明显污物，无痰迹，无功能性障碍、损坏、基础松动、歪斜；地下通道（天桥）整体洁净完好，地面、</w:t>
            </w:r>
            <w:bookmarkStart w:id="0" w:name="_GoBack"/>
            <w:bookmarkEnd w:id="0"/>
            <w:r>
              <w:rPr>
                <w:rFonts w:ascii="宋体" w:hAnsi="宋体" w:eastAsia="宋体" w:cs="宋体"/>
                <w:i w:val="0"/>
                <w:iCs w:val="0"/>
                <w:color w:val="000000"/>
                <w:kern w:val="0"/>
                <w:sz w:val="18"/>
                <w:szCs w:val="18"/>
                <w:u w:val="none"/>
                <w:lang w:val="en-US" w:eastAsia="zh-CN" w:bidi="ar"/>
              </w:rPr>
              <w:t>顶棚、天花板、墙壁、立面无明显积灰，无积水，物品对方整齐，无乱贴乱画；路面牌牌面、立杆洁净，无明显污渍。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《天心区市容环境卫生维护中心精细化维护作业绩效考核办法》达到标准得10分，未达到扣0.5分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066"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生态效益指标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提高路面洁净度，为广大市民创造优美度生活环境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好、一般、差</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用以反映服务对象对人工清扫保洁度满意度</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达到标准好得30分，一般扣0.5分，差扣1分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2354"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成本指标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经济成本指标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严格按照预算资金安排保障工作</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不超过5678.8922</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严格按照预算资金安排保障工作</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无新增业务量或政策性调资的情况下不超过预算得30分，超过扣0.5分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定性</w:t>
            </w:r>
          </w:p>
        </w:tc>
      </w:tr>
      <w:tr>
        <w:tblPrEx>
          <w:tblCellMar>
            <w:top w:w="15" w:type="dxa"/>
            <w:left w:w="108" w:type="dxa"/>
            <w:bottom w:w="15" w:type="dxa"/>
            <w:right w:w="108" w:type="dxa"/>
          </w:tblCellMar>
        </w:tblPrEx>
        <w:trPr>
          <w:trHeight w:val="1586"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服务对象满意度指标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18"/>
                <w:szCs w:val="18"/>
                <w:u w:val="none"/>
                <w:lang w:val="en-US" w:eastAsia="zh-CN" w:bidi="ar"/>
              </w:rPr>
              <w:t>社会满意度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18"/>
                <w:szCs w:val="18"/>
                <w:u w:val="none"/>
                <w:lang w:val="en-US" w:eastAsia="zh-CN" w:bidi="ar"/>
              </w:rPr>
              <w:t>75</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《天心区市容环境卫生维护中心精细化维护作业绩效考核办法》，酌情计分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达到75%得10分，每下降10%扣0.5分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18"/>
                <w:szCs w:val="18"/>
                <w:u w:val="none"/>
                <w:lang w:val="en-US" w:eastAsia="zh-CN" w:bidi="ar"/>
              </w:rPr>
              <w:t>定性</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Pr>
        <w:bidi w:val="0"/>
        <w:ind w:firstLine="354" w:firstLineChars="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NDUzNmIxZmMzNDhjMzQ2N2YyMzI2OGMyODE2YjQifQ=="/>
  </w:docVars>
  <w:rsids>
    <w:rsidRoot w:val="322106FF"/>
    <w:rsid w:val="08E73603"/>
    <w:rsid w:val="1A2852C1"/>
    <w:rsid w:val="20151385"/>
    <w:rsid w:val="2BA27DEB"/>
    <w:rsid w:val="2C7C7B49"/>
    <w:rsid w:val="322106FF"/>
    <w:rsid w:val="36C3270A"/>
    <w:rsid w:val="4A3A0DB0"/>
    <w:rsid w:val="4C3A1983"/>
    <w:rsid w:val="58A83214"/>
    <w:rsid w:val="63EA7336"/>
    <w:rsid w:val="6A9149E5"/>
    <w:rsid w:val="6C630802"/>
    <w:rsid w:val="6F2F65B3"/>
    <w:rsid w:val="786A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6692</Words>
  <Characters>7211</Characters>
  <Lines>0</Lines>
  <Paragraphs>0</Paragraphs>
  <TotalTime>3</TotalTime>
  <ScaleCrop>false</ScaleCrop>
  <LinksUpToDate>false</LinksUpToDate>
  <CharactersWithSpaces>7247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2023-01-30T05:32:00Z</dcterms:created>
  <dc:creator>罗冰</dc:creator>
  <cp:lastModifiedBy>罗冰</cp:lastModifiedBy>
  <dcterms:modified xsi:type="dcterms:W3CDTF">2023-01-31T07:36:16Z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F7A3C48C0181492BB2FEAB27A2C67B5F</vt:lpwstr>
  </property>
</Properties>
</file>