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600" w:lineRule="exact"/>
        <w:ind w:firstLine="1807" w:firstLineChars="500"/>
        <w:rPr>
          <w:rFonts w:hint="eastAsia" w:ascii="Times New Roman" w:hAnsi="Times New Roman" w:eastAsia="仿宋_GB2312" w:cs="Times New Roman"/>
          <w:b/>
          <w:bCs/>
          <w:color w:val="auto"/>
          <w:sz w:val="36"/>
          <w:szCs w:val="36"/>
        </w:rPr>
      </w:pPr>
      <w:r>
        <w:rPr>
          <w:rFonts w:hint="eastAsia" w:ascii="Times New Roman" w:hAnsi="Times New Roman" w:eastAsia="仿宋_GB2312" w:cs="Times New Roman"/>
          <w:b/>
          <w:bCs/>
          <w:color w:val="auto"/>
          <w:sz w:val="36"/>
          <w:szCs w:val="36"/>
        </w:rPr>
        <w:t>长沙市天心区城市管理和综合执法局</w:t>
      </w:r>
    </w:p>
    <w:p>
      <w:pPr>
        <w:pStyle w:val="4"/>
        <w:spacing w:line="600" w:lineRule="exact"/>
        <w:ind w:firstLine="1807" w:firstLineChars="500"/>
        <w:rPr>
          <w:rFonts w:ascii="Times New Roman" w:hAnsi="Times New Roman" w:eastAsia="仿宋_GB2312" w:cs="Times New Roman"/>
          <w:color w:val="auto"/>
          <w:sz w:val="32"/>
          <w:szCs w:val="32"/>
        </w:rPr>
      </w:pPr>
      <w:r>
        <w:rPr>
          <w:rFonts w:ascii="Times New Roman" w:hAnsi="Times New Roman" w:eastAsia="仿宋_GB2312" w:cs="Times New Roman"/>
          <w:b/>
          <w:bCs/>
          <w:color w:val="auto"/>
          <w:sz w:val="36"/>
          <w:szCs w:val="36"/>
        </w:rPr>
        <w:t>2019年度部门整体支出绩效评价报告</w:t>
      </w:r>
    </w:p>
    <w:p>
      <w:pPr>
        <w:widowControl/>
        <w:tabs>
          <w:tab w:val="left" w:pos="309"/>
        </w:tabs>
        <w:spacing w:line="600" w:lineRule="exact"/>
        <w:ind w:firstLine="645"/>
        <w:jc w:val="left"/>
        <w:rPr>
          <w:rFonts w:hint="eastAsia" w:ascii="Times New Roman" w:hAnsi="Times New Roman" w:eastAsia="黑体" w:cs="Times New Roman"/>
          <w:sz w:val="32"/>
          <w:szCs w:val="32"/>
          <w:lang w:eastAsia="zh-CN"/>
        </w:rPr>
      </w:pPr>
      <w:r>
        <w:rPr>
          <w:rFonts w:hint="eastAsia" w:ascii="Times New Roman" w:hAnsi="Times New Roman" w:eastAsia="黑体" w:cs="Times New Roman"/>
          <w:sz w:val="32"/>
          <w:szCs w:val="32"/>
          <w:lang w:eastAsia="zh-CN"/>
        </w:rPr>
        <w:tab/>
      </w:r>
    </w:p>
    <w:p>
      <w:pPr>
        <w:widowControl/>
        <w:tabs>
          <w:tab w:val="left" w:pos="309"/>
        </w:tabs>
        <w:spacing w:line="600" w:lineRule="exact"/>
        <w:ind w:firstLine="645"/>
        <w:jc w:val="left"/>
        <w:rPr>
          <w:rFonts w:ascii="Times New Roman" w:hAnsi="Times New Roman" w:eastAsia="黑体" w:cs="Times New Roman"/>
          <w:sz w:val="32"/>
          <w:szCs w:val="32"/>
        </w:rPr>
      </w:pPr>
      <w:r>
        <w:rPr>
          <w:rFonts w:hint="eastAsia" w:ascii="Times New Roman" w:hAnsi="Times New Roman" w:eastAsia="黑体" w:cs="Times New Roman"/>
          <w:sz w:val="32"/>
          <w:szCs w:val="32"/>
          <w:lang w:eastAsia="zh-CN"/>
        </w:rPr>
        <w:t>一、</w:t>
      </w:r>
      <w:r>
        <w:rPr>
          <w:rFonts w:ascii="Times New Roman" w:hAnsi="Times New Roman" w:eastAsia="黑体" w:cs="Times New Roman"/>
          <w:sz w:val="32"/>
          <w:szCs w:val="32"/>
        </w:rPr>
        <w:t>部门整体支出绩效情况</w:t>
      </w:r>
    </w:p>
    <w:p>
      <w:pPr>
        <w:widowControl/>
        <w:snapToGrid w:val="0"/>
        <w:spacing w:line="560" w:lineRule="exact"/>
        <w:ind w:firstLine="640" w:firstLineChars="200"/>
        <w:jc w:val="left"/>
        <w:rPr>
          <w:rFonts w:hint="eastAsia" w:ascii="仿宋_GB2312" w:hAnsi="仿宋" w:cs="仿宋"/>
          <w:sz w:val="32"/>
          <w:szCs w:val="32"/>
        </w:rPr>
      </w:pPr>
      <w:r>
        <w:rPr>
          <w:rFonts w:hint="eastAsia" w:ascii="Times New Roman" w:hAnsi="Times New Roman" w:cs="Times New Roman"/>
          <w:color w:val="000000"/>
          <w:sz w:val="32"/>
          <w:szCs w:val="32"/>
          <w:lang w:eastAsia="zh-CN"/>
        </w:rPr>
        <w:t>（一）</w:t>
      </w:r>
      <w:r>
        <w:rPr>
          <w:rFonts w:hint="eastAsia" w:ascii="仿宋_GB2312" w:hAnsi="仿宋" w:cs="仿宋"/>
          <w:sz w:val="32"/>
          <w:szCs w:val="32"/>
        </w:rPr>
        <w:t>绩效目标</w:t>
      </w:r>
      <w:r>
        <w:rPr>
          <w:rFonts w:hint="eastAsia" w:ascii="仿宋_GB2312" w:hAnsi="仿宋" w:cs="仿宋"/>
          <w:sz w:val="32"/>
          <w:szCs w:val="32"/>
          <w:lang w:eastAsia="zh-CN"/>
        </w:rPr>
        <w:t>设置</w:t>
      </w:r>
      <w:r>
        <w:rPr>
          <w:rFonts w:hint="eastAsia" w:ascii="仿宋_GB2312" w:hAnsi="仿宋" w:cs="仿宋"/>
          <w:sz w:val="32"/>
          <w:szCs w:val="32"/>
        </w:rPr>
        <w:t>情况</w:t>
      </w:r>
    </w:p>
    <w:p>
      <w:pPr>
        <w:widowControl/>
        <w:spacing w:line="600" w:lineRule="exact"/>
        <w:ind w:firstLine="640" w:firstLineChars="200"/>
        <w:jc w:val="left"/>
        <w:rPr>
          <w:rFonts w:hint="eastAsia" w:ascii="仿宋_GB2312" w:eastAsia="仿宋_GB2312"/>
          <w:kern w:val="2"/>
          <w:sz w:val="32"/>
          <w:szCs w:val="32"/>
          <w:lang w:val="en-US" w:eastAsia="zh-CN" w:bidi="ar-SA"/>
        </w:rPr>
      </w:pPr>
      <w:r>
        <w:rPr>
          <w:rFonts w:hint="eastAsia" w:ascii="仿宋_GB2312" w:eastAsia="仿宋_GB2312"/>
          <w:kern w:val="2"/>
          <w:sz w:val="32"/>
          <w:szCs w:val="32"/>
          <w:lang w:val="en-US" w:eastAsia="zh-CN" w:bidi="ar-SA"/>
        </w:rPr>
        <w:t>我局绩效目标根据全局近几年实际开支与下一年度新增工作责任综合考虑，切合实际填报，与部门职能职责相匹配。因我局的城市管理工作部分效益体现在环境和居民满意度的持续改善，并不能像普通经济数据一般随时可度量，需通过居民满意度调查等方式进行，但通过前后环境对比等可直观发现，整体设置较为合理。</w:t>
      </w:r>
    </w:p>
    <w:p>
      <w:pPr>
        <w:widowControl/>
        <w:snapToGrid w:val="0"/>
        <w:spacing w:line="560" w:lineRule="exact"/>
        <w:ind w:firstLine="640" w:firstLineChars="200"/>
        <w:jc w:val="left"/>
        <w:rPr>
          <w:rFonts w:hint="eastAsia" w:ascii="仿宋_GB2312" w:hAnsi="仿宋" w:cs="仿宋"/>
          <w:sz w:val="32"/>
          <w:szCs w:val="32"/>
          <w:lang w:eastAsia="zh-CN"/>
        </w:rPr>
      </w:pPr>
      <w:r>
        <w:rPr>
          <w:rFonts w:hint="eastAsia" w:ascii="仿宋_GB2312" w:hAnsi="仿宋" w:cs="仿宋"/>
          <w:sz w:val="32"/>
          <w:szCs w:val="32"/>
          <w:lang w:eastAsia="zh-CN"/>
        </w:rPr>
        <w:t>（二）绩效目标完成情况</w:t>
      </w:r>
    </w:p>
    <w:p>
      <w:pPr>
        <w:spacing w:line="560" w:lineRule="exact"/>
        <w:ind w:firstLine="640" w:firstLineChars="200"/>
        <w:outlineLvl w:val="0"/>
        <w:rPr>
          <w:rFonts w:hint="default" w:cs="Times New Roman"/>
          <w:color w:val="000000"/>
          <w:sz w:val="32"/>
          <w:szCs w:val="32"/>
          <w:lang w:val="en-US" w:eastAsia="zh-CN"/>
        </w:rPr>
      </w:pPr>
      <w:r>
        <w:rPr>
          <w:rFonts w:hint="eastAsia" w:ascii="仿宋_GB2312" w:eastAsia="仿宋_GB2312"/>
          <w:kern w:val="2"/>
          <w:sz w:val="32"/>
          <w:szCs w:val="32"/>
          <w:lang w:val="en-US" w:eastAsia="zh-CN" w:bidi="ar-SA"/>
        </w:rPr>
        <w:t>我单位在2019年实际工作中，各项支出保障了本单位的正常运转，完成了日常工作中的各项任务。（1）爱卫病媒生物防制工作，根据《关于进一步开展公共环境及重点部位病媒生物防制基础设施规范建设活动的通知》（长爱卫办发【2014】6号）文件要求，对已有工作进行监督，该项工作6月以后已转移至卫生健康局。（2）餐厨垃圾收运服务工作，该项专项工作减少了环境污染，实现市容美观，维持了社会可持续发展。同时减少了不规则收集带来的经济资源浪费（3）楼宇亮化、城乡结合部环境综合整治及其它城管综合整治工程项目等按照市、区工作部署保质保量，及时有效开展，居民群众满意度高，且在市对区考察中得到不错的反馈。（4）数字化中心管理工作（含网格化平台），我区数字化二级平台2019年度运行平稳，数字化案卷采集、派遣、办理和结案工作及时有效。在市对区考核中取得了较好的成绩。（5）垃圾分类相关工作为一项长远工作部署。本项目通过实地调研细规划、建章立制广宣传、以点带面抓示范等措施，积极践行生活垃圾分类工作。2019年9月，率先在全市实现83个社区垃圾分类全覆盖，区属党政机关及教育机构实施强制垃圾分类，7-9月连续三个月在全市垃圾分类综合考评中排名靠前。</w:t>
      </w:r>
    </w:p>
    <w:p>
      <w:pPr>
        <w:widowControl/>
        <w:spacing w:line="600" w:lineRule="exact"/>
        <w:ind w:firstLine="645"/>
        <w:jc w:val="left"/>
        <w:rPr>
          <w:rFonts w:ascii="Times New Roman" w:hAnsi="Times New Roman" w:eastAsia="黑体" w:cs="Times New Roman"/>
          <w:sz w:val="32"/>
          <w:szCs w:val="32"/>
        </w:rPr>
      </w:pPr>
      <w:r>
        <w:rPr>
          <w:rFonts w:hint="eastAsia" w:ascii="Times New Roman" w:hAnsi="Times New Roman" w:eastAsia="黑体" w:cs="Times New Roman"/>
          <w:sz w:val="32"/>
          <w:szCs w:val="32"/>
          <w:lang w:eastAsia="zh-CN"/>
        </w:rPr>
        <w:t>二、</w:t>
      </w:r>
      <w:r>
        <w:rPr>
          <w:rFonts w:ascii="Times New Roman" w:hAnsi="Times New Roman" w:eastAsia="黑体" w:cs="Times New Roman"/>
          <w:sz w:val="32"/>
          <w:szCs w:val="32"/>
        </w:rPr>
        <w:t>存在的主要问题及下一步改进措施</w:t>
      </w:r>
    </w:p>
    <w:p>
      <w:pPr>
        <w:spacing w:line="560" w:lineRule="exact"/>
        <w:ind w:firstLine="640" w:firstLineChars="200"/>
        <w:outlineLvl w:val="0"/>
        <w:rPr>
          <w:rFonts w:hint="eastAsia" w:ascii="仿宋_GB2312" w:eastAsia="仿宋_GB2312"/>
          <w:kern w:val="2"/>
          <w:sz w:val="32"/>
          <w:szCs w:val="32"/>
          <w:lang w:val="en-US" w:eastAsia="zh-CN" w:bidi="ar-SA"/>
        </w:rPr>
      </w:pPr>
      <w:r>
        <w:rPr>
          <w:rFonts w:hint="eastAsia" w:ascii="仿宋_GB2312" w:eastAsia="仿宋_GB2312"/>
          <w:kern w:val="2"/>
          <w:sz w:val="32"/>
          <w:szCs w:val="32"/>
          <w:lang w:val="en-US" w:eastAsia="zh-CN" w:bidi="ar-SA"/>
        </w:rPr>
        <w:t>无</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BCD5E83"/>
    <w:rsid w:val="70295A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2021-05-22T07:49:00Z</dcterms:created>
  <dc:creator>Administrator</dc:creator>
  <cp:lastModifiedBy>爱YY</cp:lastModifiedBy>
  <dcterms:modified xsi:type="dcterms:W3CDTF">2021-05-23T08:40:59Z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B0A2B3E29EBD4522BDDCC2B544F705CB</vt:lpwstr>
  </property>
</Properties>
</file>