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right="-199" w:rightChars="-95"/>
        <w:jc w:val="center"/>
        <w:rPr>
          <w:rFonts w:hint="eastAsia" w:ascii="微软雅黑" w:hAnsi="微软雅黑" w:eastAsia="微软雅黑" w:cs="宋体"/>
          <w:b/>
          <w:bCs/>
          <w:color w:val="auto"/>
          <w:kern w:val="0"/>
          <w:sz w:val="28"/>
          <w:szCs w:val="28"/>
          <w:lang w:val="en-US" w:eastAsia="zh-CN"/>
        </w:rPr>
      </w:pPr>
      <w:r>
        <w:rPr>
          <w:rFonts w:hint="eastAsia" w:ascii="微软雅黑" w:hAnsi="微软雅黑" w:eastAsia="微软雅黑" w:cs="宋体"/>
          <w:b/>
          <w:bCs/>
          <w:color w:val="auto"/>
          <w:kern w:val="0"/>
          <w:sz w:val="28"/>
          <w:szCs w:val="28"/>
        </w:rPr>
        <w:t>《长沙市天心区住房和城乡建设局建设工程消防行政处罚裁量标准》</w:t>
      </w:r>
      <w:r>
        <w:rPr>
          <w:rFonts w:hint="eastAsia" w:ascii="微软雅黑" w:hAnsi="微软雅黑" w:eastAsia="微软雅黑" w:cs="宋体"/>
          <w:b/>
          <w:bCs/>
          <w:color w:val="auto"/>
          <w:kern w:val="0"/>
          <w:sz w:val="28"/>
          <w:szCs w:val="28"/>
          <w:lang w:eastAsia="zh-CN"/>
        </w:rPr>
        <w:t>（征求意见稿）</w:t>
      </w:r>
    </w:p>
    <w:p>
      <w:pPr>
        <w:widowControl/>
        <w:contextualSpacing/>
        <w:jc w:val="left"/>
        <w:rPr>
          <w:rFonts w:hint="eastAsia"/>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066"/>
        <w:gridCol w:w="1125"/>
        <w:gridCol w:w="1215"/>
        <w:gridCol w:w="843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blHeader/>
          <w:jc w:val="center"/>
        </w:trPr>
        <w:tc>
          <w:tcPr>
            <w:tcW w:w="672" w:type="dxa"/>
            <w:tcBorders>
              <w:top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序号</w:t>
            </w:r>
          </w:p>
        </w:tc>
        <w:tc>
          <w:tcPr>
            <w:tcW w:w="1066"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违法行为</w:t>
            </w:r>
          </w:p>
        </w:tc>
        <w:tc>
          <w:tcPr>
            <w:tcW w:w="1125"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法律依据</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法定处罚标准</w:t>
            </w:r>
          </w:p>
        </w:tc>
        <w:tc>
          <w:tcPr>
            <w:tcW w:w="843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自由裁量情形</w:t>
            </w:r>
          </w:p>
        </w:tc>
        <w:tc>
          <w:tcPr>
            <w:tcW w:w="1342" w:type="dxa"/>
            <w:tcBorders>
              <w:top w:val="single" w:color="auto" w:sz="4" w:space="0"/>
              <w:left w:val="single" w:color="auto" w:sz="4" w:space="0"/>
              <w:bottom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自由裁量细化标准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6" w:hRule="atLeast"/>
          <w:tblHeader/>
          <w:jc w:val="center"/>
        </w:trPr>
        <w:tc>
          <w:tcPr>
            <w:tcW w:w="672" w:type="dxa"/>
            <w:tcBorders>
              <w:top w:val="single" w:color="auto" w:sz="4" w:space="0"/>
              <w:right w:val="single" w:color="auto" w:sz="4" w:space="0"/>
            </w:tcBorders>
            <w:vAlign w:val="center"/>
          </w:tcPr>
          <w:p>
            <w:pPr>
              <w:contextualSpacing/>
              <w:jc w:val="center"/>
              <w:rPr>
                <w:rFonts w:hint="eastAsia" w:ascii="宋体" w:hAnsi="宋体"/>
                <w:color w:val="auto"/>
                <w:sz w:val="18"/>
                <w:szCs w:val="18"/>
              </w:rPr>
            </w:pPr>
            <w:r>
              <w:rPr>
                <w:rFonts w:ascii="宋体" w:hAnsi="宋体"/>
                <w:color w:val="auto"/>
                <w:sz w:val="18"/>
                <w:szCs w:val="18"/>
              </w:rPr>
              <w:t>1</w:t>
            </w:r>
          </w:p>
        </w:tc>
        <w:tc>
          <w:tcPr>
            <w:tcW w:w="1066" w:type="dxa"/>
            <w:tcBorders>
              <w:top w:val="single" w:color="auto" w:sz="4" w:space="0"/>
              <w:left w:val="single" w:color="auto" w:sz="4" w:space="0"/>
              <w:right w:val="single" w:color="auto" w:sz="4" w:space="0"/>
            </w:tcBorders>
            <w:vAlign w:val="center"/>
          </w:tcPr>
          <w:p>
            <w:pPr>
              <w:widowControl/>
              <w:shd w:val="clear" w:color="040000" w:fill="FFFFFF"/>
              <w:contextualSpacing/>
              <w:rPr>
                <w:rFonts w:hint="eastAsia" w:ascii="宋体" w:hAnsi="宋体" w:cs="宋体"/>
                <w:color w:val="auto"/>
                <w:sz w:val="18"/>
                <w:szCs w:val="18"/>
                <w:shd w:val="clear" w:color="080000" w:fill="FFFFFF"/>
              </w:rPr>
            </w:pPr>
            <w:r>
              <w:rPr>
                <w:rFonts w:hint="eastAsia" w:ascii="宋体" w:hAnsi="宋体" w:cs="宋体"/>
                <w:color w:val="auto"/>
                <w:sz w:val="18"/>
                <w:szCs w:val="18"/>
                <w:shd w:val="clear" w:color="080000" w:fill="FFFFFF"/>
              </w:rPr>
              <w:t>建设单位依法应当进行消防验收的建设工程，未经消防验收或者消防验收不合格，擅自投入使用的。</w:t>
            </w:r>
          </w:p>
          <w:p>
            <w:pPr>
              <w:ind w:firstLine="360" w:firstLineChars="200"/>
              <w:contextualSpacing/>
              <w:rPr>
                <w:rFonts w:hint="eastAsia" w:ascii="宋体" w:hAnsi="宋体"/>
                <w:color w:val="auto"/>
                <w:sz w:val="18"/>
                <w:szCs w:val="18"/>
              </w:rPr>
            </w:pPr>
          </w:p>
        </w:tc>
        <w:tc>
          <w:tcPr>
            <w:tcW w:w="1125" w:type="dxa"/>
            <w:tcBorders>
              <w:top w:val="single" w:color="auto" w:sz="4" w:space="0"/>
              <w:left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《中华人民共和国消防法》第58条第1款第2项。</w:t>
            </w:r>
          </w:p>
        </w:tc>
        <w:tc>
          <w:tcPr>
            <w:tcW w:w="1215" w:type="dxa"/>
            <w:tcBorders>
              <w:top w:val="single" w:color="auto" w:sz="4" w:space="0"/>
              <w:left w:val="single" w:color="auto" w:sz="4" w:space="0"/>
              <w:right w:val="single" w:color="auto" w:sz="4" w:space="0"/>
            </w:tcBorders>
            <w:vAlign w:val="center"/>
          </w:tcPr>
          <w:p>
            <w:pPr>
              <w:ind w:firstLine="90" w:firstLineChars="50"/>
              <w:contextualSpacing/>
              <w:rPr>
                <w:rFonts w:hint="eastAsia" w:ascii="宋体" w:hAnsi="宋体"/>
                <w:color w:val="auto"/>
                <w:sz w:val="18"/>
                <w:szCs w:val="18"/>
              </w:rPr>
            </w:pPr>
            <w:r>
              <w:rPr>
                <w:rFonts w:hint="eastAsia" w:ascii="宋体" w:hAnsi="宋体" w:cs="宋体"/>
                <w:color w:val="auto"/>
                <w:sz w:val="18"/>
                <w:szCs w:val="18"/>
              </w:rPr>
              <w:t>责令停止使用，并处三万元以上三十万元以下的罚款</w:t>
            </w:r>
            <w:r>
              <w:rPr>
                <w:rFonts w:hint="eastAsia" w:ascii="宋体" w:hAnsi="宋体"/>
                <w:color w:val="auto"/>
                <w:sz w:val="18"/>
                <w:szCs w:val="18"/>
              </w:rPr>
              <w:t>。</w:t>
            </w:r>
          </w:p>
        </w:tc>
        <w:tc>
          <w:tcPr>
            <w:tcW w:w="843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s="宋体"/>
                <w:color w:val="auto"/>
                <w:sz w:val="18"/>
                <w:szCs w:val="18"/>
              </w:rPr>
            </w:pPr>
            <w:r>
              <w:rPr>
                <w:rFonts w:hint="eastAsia" w:ascii="宋体" w:hAnsi="宋体" w:cs="宋体"/>
                <w:color w:val="auto"/>
                <w:sz w:val="18"/>
                <w:szCs w:val="18"/>
              </w:rPr>
              <w:t>1、建筑总面积10000㎡以上不足30000㎡的宾馆、饭店、商场、市场。</w:t>
            </w:r>
          </w:p>
          <w:p>
            <w:pPr>
              <w:contextualSpacing/>
              <w:rPr>
                <w:rFonts w:hint="eastAsia" w:ascii="宋体" w:hAnsi="宋体" w:cs="宋体"/>
                <w:color w:val="auto"/>
                <w:sz w:val="18"/>
                <w:szCs w:val="18"/>
              </w:rPr>
            </w:pPr>
            <w:r>
              <w:rPr>
                <w:rFonts w:hint="eastAsia" w:ascii="宋体" w:hAnsi="宋体" w:cs="宋体"/>
                <w:color w:val="auto"/>
                <w:sz w:val="18"/>
                <w:szCs w:val="18"/>
              </w:rPr>
              <w:t>2、建筑总面积2500㎡以上不足5000㎡的影剧院、公共图书馆的阅览室，营业性健身房、休闲场馆、医院的门诊楼，大学的教学楼、图书馆、食堂，劳动密集型企业的生产加工车间，寺庙、教堂；</w:t>
            </w:r>
          </w:p>
          <w:p>
            <w:pPr>
              <w:contextualSpacing/>
              <w:rPr>
                <w:rFonts w:ascii="宋体" w:hAnsi="宋体" w:cs="宋体"/>
                <w:color w:val="auto"/>
                <w:sz w:val="18"/>
                <w:szCs w:val="18"/>
              </w:rPr>
            </w:pPr>
            <w:r>
              <w:rPr>
                <w:rFonts w:hint="eastAsia" w:ascii="宋体" w:hAnsi="宋体" w:cs="宋体"/>
                <w:color w:val="auto"/>
                <w:sz w:val="18"/>
                <w:szCs w:val="18"/>
              </w:rPr>
              <w:t>3、建筑总面积1000㎡以上不足5000㎡的托儿所、幼儿园的儿童用房，儿童游乐厅等室内活动场所，养老院、福利院，医院、疗养院的病房楼，中小学的教学楼、图书馆、食堂，学校的集体宿舍，劳动密集型企业的员工集体宿舍；</w:t>
            </w:r>
          </w:p>
          <w:p>
            <w:pPr>
              <w:contextualSpacing/>
              <w:rPr>
                <w:rFonts w:hint="eastAsia" w:ascii="宋体" w:hAnsi="宋体" w:cs="宋体"/>
                <w:color w:val="auto"/>
                <w:sz w:val="18"/>
                <w:szCs w:val="18"/>
              </w:rPr>
            </w:pPr>
            <w:r>
              <w:rPr>
                <w:rFonts w:hint="eastAsia" w:ascii="宋体" w:hAnsi="宋体" w:cs="宋体"/>
                <w:color w:val="auto"/>
                <w:sz w:val="18"/>
                <w:szCs w:val="18"/>
              </w:rPr>
              <w:t>4、建筑总面积500㎡以上不足2000㎡的歌舞厅、录像厅、放映厅、卡拉OK厅、夜总会、游艺厅、桑拿浴房、网吧、酒吧，具有娱乐功能的餐馆、茶馆、咖啡厅；</w:t>
            </w:r>
          </w:p>
          <w:p>
            <w:pPr>
              <w:contextualSpacing/>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 xml:space="preserve"> </w:t>
            </w:r>
          </w:p>
          <w:p>
            <w:pPr>
              <w:contextualSpacing/>
              <w:rPr>
                <w:rFonts w:ascii="宋体" w:hAnsi="宋体" w:cs="宋体"/>
                <w:color w:val="auto"/>
                <w:sz w:val="18"/>
                <w:szCs w:val="18"/>
              </w:rPr>
            </w:pPr>
            <w:r>
              <w:rPr>
                <w:rFonts w:hint="eastAsia" w:ascii="宋体" w:hAnsi="宋体" w:cs="宋体"/>
                <w:color w:val="auto"/>
                <w:sz w:val="18"/>
                <w:szCs w:val="18"/>
              </w:rPr>
              <w:t>5、不足10000㎡的国家机关办公楼、电力调度楼、电信楼、邮政楼、防灾指挥调度楼、广播电视楼、档案楼；</w:t>
            </w:r>
          </w:p>
          <w:p>
            <w:pPr>
              <w:contextualSpacing/>
              <w:rPr>
                <w:rFonts w:ascii="宋体" w:hAnsi="宋体" w:cs="宋体"/>
                <w:color w:val="auto"/>
                <w:sz w:val="18"/>
                <w:szCs w:val="18"/>
              </w:rPr>
            </w:pPr>
            <w:r>
              <w:rPr>
                <w:rFonts w:hint="eastAsia" w:ascii="宋体" w:hAnsi="宋体" w:cs="宋体"/>
                <w:color w:val="auto"/>
                <w:sz w:val="18"/>
                <w:szCs w:val="18"/>
              </w:rPr>
              <w:t>6、国家标准规定的一类高层住宅建筑且建筑高度不足100m；</w:t>
            </w:r>
          </w:p>
          <w:p>
            <w:pPr>
              <w:contextualSpacing/>
              <w:rPr>
                <w:rFonts w:ascii="宋体" w:hAnsi="宋体" w:cs="宋体"/>
                <w:color w:val="auto"/>
                <w:sz w:val="18"/>
                <w:szCs w:val="18"/>
              </w:rPr>
            </w:pPr>
            <w:r>
              <w:rPr>
                <w:rFonts w:hint="eastAsia" w:ascii="宋体" w:hAnsi="宋体" w:cs="宋体"/>
                <w:color w:val="auto"/>
                <w:sz w:val="18"/>
                <w:szCs w:val="18"/>
              </w:rPr>
              <w:t>7、生产、储存易燃易爆危险物品，液体、气体总储量不足1000m³，固体总储量不足5000kg的工厂、仓库；</w:t>
            </w:r>
          </w:p>
          <w:p>
            <w:pPr>
              <w:contextualSpacing/>
              <w:rPr>
                <w:rFonts w:hint="eastAsia" w:ascii="宋体" w:hAnsi="宋体"/>
                <w:color w:val="auto"/>
                <w:sz w:val="18"/>
                <w:szCs w:val="18"/>
              </w:rPr>
            </w:pPr>
            <w:r>
              <w:rPr>
                <w:rFonts w:hint="eastAsia" w:ascii="宋体" w:hAnsi="宋体" w:cs="宋体"/>
                <w:color w:val="auto"/>
                <w:sz w:val="18"/>
                <w:szCs w:val="18"/>
              </w:rPr>
              <w:t>8、加油站、加油加气站，装卸易燃易爆危险物品专用车站、码头。易燃易爆气体和液体的调压站。</w:t>
            </w:r>
          </w:p>
        </w:tc>
        <w:tc>
          <w:tcPr>
            <w:tcW w:w="1342" w:type="dxa"/>
            <w:tcBorders>
              <w:top w:val="single" w:color="auto" w:sz="4" w:space="0"/>
              <w:left w:val="single" w:color="auto" w:sz="4" w:space="0"/>
              <w:bottom w:val="single" w:color="auto" w:sz="4" w:space="0"/>
            </w:tcBorders>
            <w:vAlign w:val="center"/>
          </w:tcPr>
          <w:p>
            <w:pPr>
              <w:ind w:firstLine="270" w:firstLineChars="150"/>
              <w:contextualSpacing/>
              <w:rPr>
                <w:rFonts w:hint="eastAsia" w:ascii="宋体" w:hAnsi="宋体"/>
                <w:color w:val="auto"/>
                <w:sz w:val="18"/>
                <w:szCs w:val="18"/>
              </w:rPr>
            </w:pPr>
            <w:r>
              <w:rPr>
                <w:rFonts w:hint="eastAsia" w:ascii="宋体" w:hAnsi="宋体" w:cs="宋体"/>
                <w:color w:val="auto"/>
                <w:sz w:val="18"/>
                <w:szCs w:val="18"/>
              </w:rPr>
              <w:t>责令停止使用，并处三万元以上</w:t>
            </w:r>
            <w:r>
              <w:rPr>
                <w:rFonts w:hint="eastAsia" w:ascii="宋体" w:hAnsi="宋体" w:cs="宋体"/>
                <w:color w:val="auto"/>
                <w:sz w:val="18"/>
                <w:szCs w:val="18"/>
                <w:lang w:eastAsia="zh-CN"/>
              </w:rPr>
              <w:t>六</w:t>
            </w:r>
            <w:r>
              <w:rPr>
                <w:rFonts w:hint="eastAsia" w:ascii="宋体" w:hAnsi="宋体" w:cs="宋体"/>
                <w:color w:val="auto"/>
                <w:sz w:val="18"/>
                <w:szCs w:val="18"/>
              </w:rPr>
              <w:t>万元以下罚款。</w:t>
            </w:r>
          </w:p>
        </w:tc>
      </w:tr>
    </w:tbl>
    <w:p>
      <w:pPr>
        <w:rPr>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66"/>
        <w:gridCol w:w="1125"/>
        <w:gridCol w:w="1215"/>
        <w:gridCol w:w="843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tblHeader/>
          <w:jc w:val="center"/>
        </w:trPr>
        <w:tc>
          <w:tcPr>
            <w:tcW w:w="712" w:type="dxa"/>
            <w:vMerge w:val="restart"/>
            <w:tcBorders>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066" w:type="dxa"/>
            <w:vMerge w:val="restart"/>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125" w:type="dxa"/>
            <w:vMerge w:val="restart"/>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215" w:type="dxa"/>
            <w:vMerge w:val="restart"/>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843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s="宋体"/>
                <w:color w:val="auto"/>
                <w:sz w:val="18"/>
                <w:szCs w:val="18"/>
              </w:rPr>
            </w:pPr>
            <w:r>
              <w:rPr>
                <w:rFonts w:hint="eastAsia" w:ascii="宋体" w:hAnsi="宋体" w:cs="宋体"/>
                <w:color w:val="auto"/>
                <w:sz w:val="18"/>
                <w:szCs w:val="18"/>
              </w:rPr>
              <w:t>1、建筑总面积30000㎡以上不足50000㎡的宾馆、饭店、商场、市场。</w:t>
            </w:r>
          </w:p>
          <w:p>
            <w:pPr>
              <w:contextualSpacing/>
              <w:rPr>
                <w:color w:val="auto"/>
              </w:rPr>
            </w:pPr>
            <w:r>
              <w:rPr>
                <w:rFonts w:hint="eastAsia" w:ascii="宋体" w:hAnsi="宋体" w:cs="宋体"/>
                <w:color w:val="auto"/>
                <w:sz w:val="18"/>
                <w:szCs w:val="18"/>
              </w:rPr>
              <w:t>2、建筑总面积5000㎡以上不足10000㎡的影剧院、公共图书馆的阅览室，营业性健身房、休闲场馆、医院的门诊楼，大学的教学楼、图书馆、食堂，劳动密集型企业的生产加工车间，寺庙、教堂。</w:t>
            </w:r>
          </w:p>
          <w:p>
            <w:pPr>
              <w:contextualSpacing/>
              <w:rPr>
                <w:color w:val="auto"/>
              </w:rPr>
            </w:pPr>
            <w:r>
              <w:rPr>
                <w:rFonts w:hint="eastAsia" w:ascii="宋体" w:hAnsi="宋体" w:cs="宋体"/>
                <w:color w:val="auto"/>
                <w:sz w:val="18"/>
                <w:szCs w:val="18"/>
              </w:rPr>
              <w:t>3、建筑总面积5000㎡以上的托儿所、幼儿园的儿童用房，儿童游乐厅等室内活动场所，养老院、福利院，医院、疗养院的病房楼，中小学的教学楼、图书馆、食堂，学校的集体宿舍，劳动密集型企业的员工集体宿舍。</w:t>
            </w:r>
          </w:p>
          <w:p>
            <w:pPr>
              <w:contextualSpacing/>
              <w:rPr>
                <w:color w:val="auto"/>
              </w:rPr>
            </w:pPr>
            <w:r>
              <w:rPr>
                <w:rFonts w:hint="eastAsia" w:ascii="宋体" w:hAnsi="宋体" w:cs="宋体"/>
                <w:color w:val="auto"/>
                <w:sz w:val="18"/>
                <w:szCs w:val="18"/>
              </w:rPr>
              <w:t>4、建筑总面积2000㎡以上不足5000㎡的歌舞厅、录像厅、放映厅、卡拉OK厅、夜总会、游艺厅、桑拿浴房、网吧、酒吧，具有娱乐功能的餐馆、茶馆、咖啡厅。</w:t>
            </w:r>
          </w:p>
          <w:p>
            <w:pPr>
              <w:contextualSpacing/>
              <w:rPr>
                <w:color w:val="auto"/>
              </w:rPr>
            </w:pPr>
            <w:r>
              <w:rPr>
                <w:rFonts w:hint="eastAsia" w:ascii="宋体" w:hAnsi="宋体" w:cs="宋体"/>
                <w:color w:val="auto"/>
                <w:sz w:val="18"/>
                <w:szCs w:val="18"/>
              </w:rPr>
              <w:t>5、不足10000㎡以上不足30000㎡的国家机关办公楼、电力调度楼、电信楼、邮政楼、防灾指挥调度楼、广播电视楼、档案楼。</w:t>
            </w:r>
          </w:p>
          <w:p>
            <w:pPr>
              <w:contextualSpacing/>
              <w:rPr>
                <w:color w:val="auto"/>
              </w:rPr>
            </w:pPr>
            <w:r>
              <w:rPr>
                <w:rFonts w:hint="eastAsia" w:ascii="宋体" w:hAnsi="宋体" w:cs="宋体"/>
                <w:color w:val="auto"/>
                <w:sz w:val="18"/>
                <w:szCs w:val="18"/>
              </w:rPr>
              <w:t>6、单体建筑面积40000㎡以上不足100000㎡或者建筑高度50m以上不足100m的公共建筑。</w:t>
            </w:r>
          </w:p>
          <w:p>
            <w:pPr>
              <w:contextualSpacing/>
              <w:rPr>
                <w:color w:val="auto"/>
              </w:rPr>
            </w:pPr>
            <w:r>
              <w:rPr>
                <w:rFonts w:hint="eastAsia" w:ascii="宋体" w:hAnsi="宋体" w:cs="宋体"/>
                <w:color w:val="auto"/>
                <w:sz w:val="18"/>
                <w:szCs w:val="18"/>
              </w:rPr>
              <w:t>7、国家标准规定的一类高层住宅建筑且建筑高度100m以上。</w:t>
            </w:r>
          </w:p>
          <w:p>
            <w:pPr>
              <w:contextualSpacing/>
              <w:rPr>
                <w:rFonts w:hint="eastAsia" w:ascii="宋体" w:hAnsi="宋体"/>
                <w:color w:val="auto"/>
                <w:sz w:val="18"/>
                <w:szCs w:val="18"/>
              </w:rPr>
            </w:pPr>
            <w:r>
              <w:rPr>
                <w:rFonts w:hint="eastAsia" w:ascii="宋体" w:hAnsi="宋体" w:cs="宋体"/>
                <w:color w:val="auto"/>
                <w:sz w:val="18"/>
                <w:szCs w:val="18"/>
              </w:rPr>
              <w:t>8、生产、储存易燃易爆危险物品，液体、气体总储量1000m³以上不足3000m³，固体总储量5000kg的以上不足10000kg的工厂、仓库，以及除加油站、加油加气站以外的易燃易爆气体和液体的充装站、供应站。</w:t>
            </w:r>
          </w:p>
        </w:tc>
        <w:tc>
          <w:tcPr>
            <w:tcW w:w="1342" w:type="dxa"/>
            <w:tcBorders>
              <w:top w:val="single" w:color="auto" w:sz="4" w:space="0"/>
              <w:left w:val="single" w:color="auto" w:sz="4" w:space="0"/>
              <w:bottom w:val="single" w:color="auto" w:sz="4" w:space="0"/>
            </w:tcBorders>
            <w:vAlign w:val="center"/>
          </w:tcPr>
          <w:p>
            <w:pPr>
              <w:ind w:firstLine="360" w:firstLineChars="200"/>
              <w:contextualSpacing/>
              <w:rPr>
                <w:rFonts w:hint="eastAsia" w:ascii="宋体" w:hAnsi="宋体"/>
                <w:color w:val="auto"/>
                <w:sz w:val="18"/>
                <w:szCs w:val="18"/>
              </w:rPr>
            </w:pPr>
            <w:r>
              <w:rPr>
                <w:rFonts w:hint="eastAsia" w:ascii="宋体" w:hAnsi="宋体" w:cs="宋体"/>
                <w:color w:val="auto"/>
                <w:sz w:val="18"/>
                <w:szCs w:val="18"/>
              </w:rPr>
              <w:t>责令停止使用，并处</w:t>
            </w:r>
            <w:r>
              <w:rPr>
                <w:rFonts w:hint="eastAsia" w:ascii="宋体" w:hAnsi="宋体" w:cs="宋体"/>
                <w:color w:val="auto"/>
                <w:sz w:val="18"/>
                <w:szCs w:val="18"/>
                <w:lang w:eastAsia="zh-CN"/>
              </w:rPr>
              <w:t>六</w:t>
            </w:r>
            <w:r>
              <w:rPr>
                <w:rFonts w:hint="eastAsia" w:ascii="宋体" w:hAnsi="宋体" w:cs="宋体"/>
                <w:color w:val="auto"/>
                <w:sz w:val="18"/>
                <w:szCs w:val="18"/>
              </w:rPr>
              <w:t>万元以上十</w:t>
            </w:r>
            <w:r>
              <w:rPr>
                <w:rFonts w:hint="eastAsia" w:ascii="宋体" w:hAnsi="宋体" w:cs="宋体"/>
                <w:color w:val="auto"/>
                <w:sz w:val="18"/>
                <w:szCs w:val="18"/>
                <w:lang w:eastAsia="zh-CN"/>
              </w:rPr>
              <w:t>五</w:t>
            </w:r>
            <w:r>
              <w:rPr>
                <w:rFonts w:hint="eastAsia" w:ascii="宋体" w:hAnsi="宋体" w:cs="宋体"/>
                <w:color w:val="auto"/>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blHeader/>
          <w:jc w:val="center"/>
        </w:trPr>
        <w:tc>
          <w:tcPr>
            <w:tcW w:w="712" w:type="dxa"/>
            <w:vMerge w:val="continue"/>
            <w:tcBorders>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066"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125"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215"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843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s="宋体"/>
                <w:color w:val="auto"/>
                <w:sz w:val="18"/>
                <w:szCs w:val="18"/>
              </w:rPr>
            </w:pPr>
            <w:r>
              <w:rPr>
                <w:rFonts w:hint="eastAsia" w:ascii="宋体" w:hAnsi="宋体" w:cs="宋体"/>
                <w:color w:val="auto"/>
                <w:sz w:val="18"/>
                <w:szCs w:val="18"/>
              </w:rPr>
              <w:t>1、建筑总面积20000㎡以上的体育场馆、会堂，公共展览馆、博物馆的展示厅。</w:t>
            </w:r>
          </w:p>
          <w:p>
            <w:pPr>
              <w:contextualSpacing/>
              <w:rPr>
                <w:color w:val="auto"/>
              </w:rPr>
            </w:pPr>
            <w:r>
              <w:rPr>
                <w:rFonts w:hint="eastAsia" w:ascii="宋体" w:hAnsi="宋体" w:cs="宋体"/>
                <w:color w:val="auto"/>
                <w:sz w:val="18"/>
                <w:szCs w:val="18"/>
              </w:rPr>
              <w:t>2、建筑总面积15000㎡以上的民用机场航站楼、客运车站候车室、客运码头候船厅。</w:t>
            </w:r>
          </w:p>
          <w:p>
            <w:pPr>
              <w:contextualSpacing/>
              <w:rPr>
                <w:color w:val="auto"/>
              </w:rPr>
            </w:pPr>
            <w:r>
              <w:rPr>
                <w:rFonts w:hint="eastAsia" w:ascii="宋体" w:hAnsi="宋体" w:cs="宋体"/>
                <w:color w:val="auto"/>
                <w:sz w:val="18"/>
                <w:szCs w:val="18"/>
              </w:rPr>
              <w:t>3、建筑总面积50000㎡以上的宾馆、饭店、商场、市场。</w:t>
            </w:r>
          </w:p>
          <w:p>
            <w:pPr>
              <w:contextualSpacing/>
              <w:rPr>
                <w:color w:val="auto"/>
              </w:rPr>
            </w:pPr>
            <w:r>
              <w:rPr>
                <w:rFonts w:hint="eastAsia" w:ascii="宋体" w:hAnsi="宋体" w:cs="宋体"/>
                <w:color w:val="auto"/>
                <w:sz w:val="18"/>
                <w:szCs w:val="18"/>
              </w:rPr>
              <w:t>4、建筑总面积10000㎡以上影剧院，公共图书馆的阅览室，营业性室内健身、休闲场馆，医院的门诊楼，大学的教学楼、图书馆、食堂，劳动密集型企业的生产加工车间，寺庙、教堂。</w:t>
            </w:r>
          </w:p>
          <w:p>
            <w:pPr>
              <w:contextualSpacing/>
              <w:rPr>
                <w:color w:val="auto"/>
              </w:rPr>
            </w:pPr>
            <w:r>
              <w:rPr>
                <w:rFonts w:hint="eastAsia" w:ascii="宋体" w:hAnsi="宋体" w:cs="宋体"/>
                <w:color w:val="auto"/>
                <w:sz w:val="18"/>
                <w:szCs w:val="18"/>
              </w:rPr>
              <w:t>5、建筑总面积5000㎡以上的歌舞厅、录像厅、放映厅、卡拉OK厅、夜总会、游艺厅、桑拿浴房、网吧、酒吧，具有娱乐功能的餐馆、茶馆、咖啡厅。</w:t>
            </w:r>
          </w:p>
          <w:p>
            <w:pPr>
              <w:contextualSpacing/>
              <w:rPr>
                <w:color w:val="auto"/>
              </w:rPr>
            </w:pPr>
            <w:r>
              <w:rPr>
                <w:rFonts w:hint="eastAsia" w:ascii="宋体" w:hAnsi="宋体" w:cs="宋体"/>
                <w:color w:val="auto"/>
                <w:sz w:val="18"/>
                <w:szCs w:val="18"/>
              </w:rPr>
              <w:t>6、建筑总面积30000㎡以上的国家机关办公楼、电力调度楼、电信楼、邮政楼、防灾指挥调度楼、广播电视楼、档案楼。</w:t>
            </w:r>
          </w:p>
          <w:p>
            <w:pPr>
              <w:contextualSpacing/>
              <w:rPr>
                <w:color w:val="auto"/>
              </w:rPr>
            </w:pPr>
            <w:r>
              <w:rPr>
                <w:rFonts w:hint="eastAsia" w:ascii="宋体" w:hAnsi="宋体" w:cs="宋体"/>
                <w:color w:val="auto"/>
                <w:sz w:val="18"/>
                <w:szCs w:val="18"/>
              </w:rPr>
              <w:t>7、单体建筑面积100000㎡以上或者建筑高度100m以上的公共建筑。</w:t>
            </w:r>
          </w:p>
          <w:p>
            <w:pPr>
              <w:contextualSpacing/>
              <w:rPr>
                <w:color w:val="auto"/>
              </w:rPr>
            </w:pPr>
            <w:r>
              <w:rPr>
                <w:rFonts w:hint="eastAsia" w:ascii="宋体" w:hAnsi="宋体" w:cs="宋体"/>
                <w:color w:val="auto"/>
                <w:sz w:val="18"/>
                <w:szCs w:val="18"/>
              </w:rPr>
              <w:t>8、城市轨道交通、隧道工程，大型发电、变配电工程；</w:t>
            </w:r>
          </w:p>
          <w:p>
            <w:pPr>
              <w:contextualSpacing/>
              <w:rPr>
                <w:rFonts w:hint="eastAsia" w:ascii="宋体" w:hAnsi="宋体"/>
                <w:color w:val="auto"/>
                <w:sz w:val="18"/>
                <w:szCs w:val="18"/>
              </w:rPr>
            </w:pPr>
            <w:r>
              <w:rPr>
                <w:rFonts w:hint="eastAsia" w:ascii="宋体" w:hAnsi="宋体" w:cs="宋体"/>
                <w:color w:val="auto"/>
                <w:sz w:val="18"/>
                <w:szCs w:val="18"/>
              </w:rPr>
              <w:t>9、生产、储存易燃易爆危险品，液体、气体总储量3000m³以上，固体总储量10000kg以上的工程、仓库；</w:t>
            </w:r>
          </w:p>
        </w:tc>
        <w:tc>
          <w:tcPr>
            <w:tcW w:w="1342" w:type="dxa"/>
            <w:tcBorders>
              <w:top w:val="single" w:color="auto" w:sz="4" w:space="0"/>
              <w:left w:val="single" w:color="auto" w:sz="4" w:space="0"/>
              <w:bottom w:val="single" w:color="auto" w:sz="4" w:space="0"/>
            </w:tcBorders>
            <w:vAlign w:val="center"/>
          </w:tcPr>
          <w:p>
            <w:pPr>
              <w:ind w:firstLine="360" w:firstLineChars="200"/>
              <w:contextualSpacing/>
              <w:rPr>
                <w:rFonts w:hint="eastAsia" w:ascii="宋体" w:hAnsi="宋体"/>
                <w:color w:val="auto"/>
                <w:sz w:val="18"/>
                <w:szCs w:val="18"/>
              </w:rPr>
            </w:pPr>
            <w:r>
              <w:rPr>
                <w:rFonts w:hint="eastAsia" w:ascii="宋体" w:hAnsi="宋体" w:cs="宋体"/>
                <w:color w:val="auto"/>
                <w:sz w:val="18"/>
                <w:szCs w:val="18"/>
              </w:rPr>
              <w:t>责令停止使用，并处十</w:t>
            </w:r>
            <w:r>
              <w:rPr>
                <w:rFonts w:hint="eastAsia" w:ascii="宋体" w:hAnsi="宋体" w:cs="宋体"/>
                <w:color w:val="auto"/>
                <w:sz w:val="18"/>
                <w:szCs w:val="18"/>
                <w:lang w:eastAsia="zh-CN"/>
              </w:rPr>
              <w:t>五</w:t>
            </w:r>
            <w:r>
              <w:rPr>
                <w:rFonts w:hint="eastAsia" w:ascii="宋体" w:hAnsi="宋体" w:cs="宋体"/>
                <w:color w:val="auto"/>
                <w:sz w:val="18"/>
                <w:szCs w:val="18"/>
              </w:rPr>
              <w:t>万元以上三十万元以下罚款。</w:t>
            </w:r>
          </w:p>
        </w:tc>
      </w:tr>
    </w:tbl>
    <w:p>
      <w:pPr>
        <w:contextualSpacing/>
        <w:rPr>
          <w:rFonts w:hint="eastAsia"/>
          <w:color w:val="auto"/>
        </w:rPr>
      </w:pPr>
    </w:p>
    <w:p>
      <w:pPr>
        <w:contextualSpacing/>
        <w:rPr>
          <w:rFonts w:hint="eastAsia"/>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28"/>
        <w:gridCol w:w="1616"/>
        <w:gridCol w:w="2403"/>
        <w:gridCol w:w="3897"/>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blHeader/>
          <w:jc w:val="center"/>
        </w:trPr>
        <w:tc>
          <w:tcPr>
            <w:tcW w:w="712" w:type="dxa"/>
            <w:tcBorders>
              <w:top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序号</w:t>
            </w:r>
          </w:p>
        </w:tc>
        <w:tc>
          <w:tcPr>
            <w:tcW w:w="182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违法行为</w:t>
            </w:r>
          </w:p>
        </w:tc>
        <w:tc>
          <w:tcPr>
            <w:tcW w:w="1616"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法律依据</w:t>
            </w:r>
          </w:p>
        </w:tc>
        <w:tc>
          <w:tcPr>
            <w:tcW w:w="240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法定处罚标准</w:t>
            </w:r>
          </w:p>
        </w:tc>
        <w:tc>
          <w:tcPr>
            <w:tcW w:w="3897"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自由裁量情形</w:t>
            </w:r>
          </w:p>
        </w:tc>
        <w:tc>
          <w:tcPr>
            <w:tcW w:w="3430" w:type="dxa"/>
            <w:tcBorders>
              <w:top w:val="single" w:color="auto" w:sz="4" w:space="0"/>
              <w:left w:val="single" w:color="auto" w:sz="4" w:space="0"/>
              <w:bottom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自由裁量细化标准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blHeader/>
          <w:jc w:val="center"/>
        </w:trPr>
        <w:tc>
          <w:tcPr>
            <w:tcW w:w="712" w:type="dxa"/>
            <w:vMerge w:val="restart"/>
            <w:tcBorders>
              <w:top w:val="single" w:color="auto" w:sz="4" w:space="0"/>
              <w:right w:val="single" w:color="auto" w:sz="4" w:space="0"/>
            </w:tcBorders>
            <w:vAlign w:val="center"/>
          </w:tcPr>
          <w:p>
            <w:pPr>
              <w:contextualSpacing/>
              <w:jc w:val="center"/>
              <w:rPr>
                <w:rFonts w:hint="eastAsia" w:ascii="宋体" w:hAnsi="宋体"/>
                <w:color w:val="auto"/>
                <w:sz w:val="18"/>
                <w:szCs w:val="18"/>
              </w:rPr>
            </w:pPr>
            <w:r>
              <w:rPr>
                <w:rFonts w:ascii="宋体" w:hAnsi="宋体"/>
                <w:color w:val="auto"/>
                <w:sz w:val="18"/>
                <w:szCs w:val="18"/>
              </w:rPr>
              <w:t>2</w:t>
            </w:r>
          </w:p>
        </w:tc>
        <w:tc>
          <w:tcPr>
            <w:tcW w:w="1828" w:type="dxa"/>
            <w:vMerge w:val="restart"/>
            <w:tcBorders>
              <w:top w:val="single" w:color="auto" w:sz="4" w:space="0"/>
              <w:left w:val="single" w:color="auto" w:sz="4" w:space="0"/>
              <w:right w:val="single" w:color="auto" w:sz="4" w:space="0"/>
            </w:tcBorders>
            <w:vAlign w:val="center"/>
          </w:tcPr>
          <w:p>
            <w:pPr>
              <w:widowControl/>
              <w:shd w:val="clear" w:color="040000" w:fill="FFFFFF"/>
              <w:contextualSpacing/>
              <w:rPr>
                <w:rFonts w:hint="eastAsia" w:ascii="宋体" w:hAnsi="宋体" w:cs="宋体"/>
                <w:color w:val="auto"/>
                <w:sz w:val="18"/>
                <w:szCs w:val="18"/>
                <w:shd w:val="clear" w:color="080000" w:fill="FFFFFF"/>
              </w:rPr>
            </w:pPr>
            <w:r>
              <w:rPr>
                <w:rFonts w:hint="eastAsia" w:ascii="宋体" w:hAnsi="宋体" w:cs="宋体"/>
                <w:color w:val="auto"/>
                <w:sz w:val="18"/>
                <w:szCs w:val="18"/>
                <w:shd w:val="clear" w:color="080000" w:fill="FFFFFF"/>
              </w:rPr>
              <w:t>本法规定的其他建设工程验收后申请消防备案，经依法抽查不合格，建设单位不停止使用的。</w:t>
            </w:r>
          </w:p>
          <w:p>
            <w:pPr>
              <w:contextualSpacing/>
              <w:rPr>
                <w:rFonts w:hint="eastAsia" w:ascii="宋体" w:hAnsi="宋体"/>
                <w:color w:val="auto"/>
                <w:sz w:val="18"/>
                <w:szCs w:val="18"/>
              </w:rPr>
            </w:pPr>
          </w:p>
        </w:tc>
        <w:tc>
          <w:tcPr>
            <w:tcW w:w="1616" w:type="dxa"/>
            <w:vMerge w:val="restart"/>
            <w:tcBorders>
              <w:top w:val="single" w:color="auto" w:sz="4" w:space="0"/>
              <w:left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《中华人民共和国消防法》第58条，第</w:t>
            </w:r>
            <w:r>
              <w:rPr>
                <w:rFonts w:ascii="宋体" w:hAnsi="宋体" w:cs="宋体"/>
                <w:color w:val="auto"/>
                <w:sz w:val="18"/>
                <w:szCs w:val="18"/>
              </w:rPr>
              <w:t>1</w:t>
            </w:r>
            <w:r>
              <w:rPr>
                <w:rFonts w:hint="eastAsia" w:ascii="宋体" w:hAnsi="宋体" w:cs="宋体"/>
                <w:color w:val="auto"/>
                <w:sz w:val="18"/>
                <w:szCs w:val="18"/>
              </w:rPr>
              <w:t>款第3项。</w:t>
            </w:r>
          </w:p>
        </w:tc>
        <w:tc>
          <w:tcPr>
            <w:tcW w:w="2403" w:type="dxa"/>
            <w:vMerge w:val="restart"/>
            <w:tcBorders>
              <w:top w:val="single" w:color="auto" w:sz="4" w:space="0"/>
              <w:left w:val="single" w:color="auto" w:sz="4" w:space="0"/>
              <w:right w:val="single" w:color="auto" w:sz="4" w:space="0"/>
            </w:tcBorders>
            <w:vAlign w:val="center"/>
          </w:tcPr>
          <w:p>
            <w:pPr>
              <w:ind w:firstLine="360" w:firstLineChars="200"/>
              <w:contextualSpacing/>
              <w:rPr>
                <w:rFonts w:hint="eastAsia" w:ascii="宋体" w:hAnsi="宋体"/>
                <w:color w:val="auto"/>
                <w:sz w:val="18"/>
                <w:szCs w:val="18"/>
              </w:rPr>
            </w:pPr>
            <w:r>
              <w:rPr>
                <w:rFonts w:hint="eastAsia" w:ascii="宋体" w:hAnsi="宋体" w:cs="宋体"/>
                <w:color w:val="auto"/>
                <w:sz w:val="18"/>
                <w:szCs w:val="18"/>
              </w:rPr>
              <w:t>责令停止使用，并处三万元以上三十万元以下的罚款</w:t>
            </w:r>
            <w:r>
              <w:rPr>
                <w:rFonts w:hint="eastAsia" w:ascii="宋体" w:hAnsi="宋体"/>
                <w:color w:val="auto"/>
                <w:sz w:val="18"/>
                <w:szCs w:val="18"/>
              </w:rPr>
              <w:t>。</w:t>
            </w:r>
          </w:p>
        </w:tc>
        <w:tc>
          <w:tcPr>
            <w:tcW w:w="3897" w:type="dxa"/>
            <w:tcBorders>
              <w:top w:val="single" w:color="auto" w:sz="4" w:space="0"/>
              <w:left w:val="single" w:color="auto" w:sz="4" w:space="0"/>
              <w:bottom w:val="single" w:color="auto" w:sz="4" w:space="0"/>
              <w:right w:val="single" w:color="auto" w:sz="4" w:space="0"/>
            </w:tcBorders>
            <w:vAlign w:val="center"/>
          </w:tcPr>
          <w:p>
            <w:pPr>
              <w:ind w:firstLine="360" w:firstLineChars="200"/>
              <w:contextualSpacing/>
              <w:rPr>
                <w:rFonts w:hint="eastAsia" w:ascii="宋体" w:hAnsi="宋体"/>
                <w:color w:val="auto"/>
                <w:sz w:val="18"/>
                <w:szCs w:val="18"/>
              </w:rPr>
            </w:pPr>
            <w:r>
              <w:rPr>
                <w:rFonts w:hint="eastAsia" w:ascii="宋体" w:hAnsi="宋体" w:cs="宋体"/>
                <w:color w:val="auto"/>
                <w:sz w:val="18"/>
                <w:szCs w:val="18"/>
                <w:shd w:val="clear" w:color="080000" w:fill="FFFFFF"/>
              </w:rPr>
              <w:t>本法规定的其他建设工程验收后申请消防备案，经依法抽查不合格，建设单位未停止使用的</w:t>
            </w:r>
          </w:p>
        </w:tc>
        <w:tc>
          <w:tcPr>
            <w:tcW w:w="3430" w:type="dxa"/>
            <w:tcBorders>
              <w:top w:val="single" w:color="auto" w:sz="4" w:space="0"/>
              <w:left w:val="single" w:color="auto" w:sz="4" w:space="0"/>
              <w:bottom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责令停止使用，并处三万元以上</w:t>
            </w:r>
            <w:r>
              <w:rPr>
                <w:rFonts w:hint="eastAsia" w:ascii="宋体" w:hAnsi="宋体" w:cs="宋体"/>
                <w:color w:val="auto"/>
                <w:sz w:val="18"/>
                <w:szCs w:val="18"/>
                <w:lang w:eastAsia="zh-CN"/>
              </w:rPr>
              <w:t>六</w:t>
            </w:r>
            <w:r>
              <w:rPr>
                <w:rFonts w:hint="eastAsia" w:ascii="宋体" w:hAnsi="宋体" w:cs="宋体"/>
                <w:color w:val="auto"/>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blHeader/>
          <w:jc w:val="center"/>
        </w:trPr>
        <w:tc>
          <w:tcPr>
            <w:tcW w:w="712" w:type="dxa"/>
            <w:vMerge w:val="continue"/>
            <w:tcBorders>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828" w:type="dxa"/>
            <w:vMerge w:val="continue"/>
            <w:tcBorders>
              <w:left w:val="single" w:color="auto" w:sz="4" w:space="0"/>
              <w:right w:val="single" w:color="auto" w:sz="4" w:space="0"/>
            </w:tcBorders>
            <w:vAlign w:val="center"/>
          </w:tcPr>
          <w:p>
            <w:pPr>
              <w:contextualSpacing/>
              <w:rPr>
                <w:rFonts w:hint="eastAsia" w:ascii="宋体" w:hAnsi="宋体"/>
                <w:color w:val="auto"/>
                <w:sz w:val="18"/>
                <w:szCs w:val="18"/>
              </w:rPr>
            </w:pPr>
          </w:p>
        </w:tc>
        <w:tc>
          <w:tcPr>
            <w:tcW w:w="1616" w:type="dxa"/>
            <w:vMerge w:val="continue"/>
            <w:tcBorders>
              <w:left w:val="single" w:color="auto" w:sz="4" w:space="0"/>
              <w:right w:val="single" w:color="auto" w:sz="4" w:space="0"/>
            </w:tcBorders>
            <w:vAlign w:val="center"/>
          </w:tcPr>
          <w:p>
            <w:pPr>
              <w:contextualSpacing/>
              <w:rPr>
                <w:rFonts w:hint="eastAsia" w:ascii="宋体" w:hAnsi="宋体"/>
                <w:color w:val="auto"/>
                <w:sz w:val="18"/>
                <w:szCs w:val="18"/>
              </w:rPr>
            </w:pPr>
          </w:p>
        </w:tc>
        <w:tc>
          <w:tcPr>
            <w:tcW w:w="2403" w:type="dxa"/>
            <w:vMerge w:val="continue"/>
            <w:tcBorders>
              <w:left w:val="single" w:color="auto" w:sz="4" w:space="0"/>
              <w:right w:val="single" w:color="auto" w:sz="4" w:space="0"/>
            </w:tcBorders>
            <w:vAlign w:val="center"/>
          </w:tcPr>
          <w:p>
            <w:pPr>
              <w:contextualSpacing/>
              <w:rPr>
                <w:rFonts w:hint="eastAsia" w:ascii="宋体" w:hAnsi="宋体"/>
                <w:color w:val="auto"/>
                <w:sz w:val="18"/>
                <w:szCs w:val="18"/>
              </w:rPr>
            </w:pPr>
          </w:p>
        </w:tc>
        <w:tc>
          <w:tcPr>
            <w:tcW w:w="3897" w:type="dxa"/>
            <w:tcBorders>
              <w:top w:val="single" w:color="auto" w:sz="4" w:space="0"/>
              <w:left w:val="single" w:color="auto" w:sz="4" w:space="0"/>
              <w:bottom w:val="single" w:color="auto" w:sz="4" w:space="0"/>
              <w:right w:val="single" w:color="auto" w:sz="4" w:space="0"/>
            </w:tcBorders>
            <w:vAlign w:val="center"/>
          </w:tcPr>
          <w:p>
            <w:pPr>
              <w:widowControl/>
              <w:shd w:val="clear" w:color="040000" w:fill="FFFFFF"/>
              <w:ind w:firstLine="360" w:firstLineChars="200"/>
              <w:contextualSpacing/>
              <w:rPr>
                <w:rFonts w:hint="eastAsia" w:ascii="宋体" w:hAnsi="宋体" w:cs="宋体"/>
                <w:color w:val="auto"/>
                <w:sz w:val="18"/>
                <w:szCs w:val="18"/>
                <w:shd w:val="clear" w:color="080000" w:fill="FFFFFF"/>
              </w:rPr>
            </w:pPr>
            <w:r>
              <w:rPr>
                <w:rFonts w:hint="eastAsia" w:ascii="宋体" w:hAnsi="宋体" w:cs="宋体"/>
                <w:color w:val="auto"/>
                <w:sz w:val="18"/>
                <w:szCs w:val="18"/>
                <w:shd w:val="clear" w:color="080000" w:fill="FFFFFF"/>
              </w:rPr>
              <w:t>本法规定的其他建设工程验收后申请消防备案，经依法抽查不合格，建设单位不停止使用,造成一定影响和危害后果的。</w:t>
            </w:r>
          </w:p>
          <w:p>
            <w:pPr>
              <w:contextualSpacing/>
              <w:rPr>
                <w:rFonts w:hint="eastAsia" w:ascii="宋体" w:hAnsi="宋体"/>
                <w:color w:val="auto"/>
                <w:sz w:val="18"/>
                <w:szCs w:val="18"/>
              </w:rPr>
            </w:pPr>
          </w:p>
        </w:tc>
        <w:tc>
          <w:tcPr>
            <w:tcW w:w="3430" w:type="dxa"/>
            <w:tcBorders>
              <w:top w:val="single" w:color="auto" w:sz="4" w:space="0"/>
              <w:left w:val="single" w:color="auto" w:sz="4" w:space="0"/>
              <w:bottom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责令停止使用，并处</w:t>
            </w:r>
            <w:r>
              <w:rPr>
                <w:rFonts w:hint="eastAsia" w:ascii="宋体" w:hAnsi="宋体" w:cs="宋体"/>
                <w:color w:val="auto"/>
                <w:sz w:val="18"/>
                <w:szCs w:val="18"/>
                <w:lang w:eastAsia="zh-CN"/>
              </w:rPr>
              <w:t>六</w:t>
            </w:r>
            <w:r>
              <w:rPr>
                <w:rFonts w:hint="eastAsia" w:ascii="宋体" w:hAnsi="宋体" w:cs="宋体"/>
                <w:color w:val="auto"/>
                <w:sz w:val="18"/>
                <w:szCs w:val="18"/>
              </w:rPr>
              <w:t>万元以上十</w:t>
            </w:r>
            <w:r>
              <w:rPr>
                <w:rFonts w:hint="eastAsia" w:ascii="宋体" w:hAnsi="宋体" w:cs="宋体"/>
                <w:color w:val="auto"/>
                <w:sz w:val="18"/>
                <w:szCs w:val="18"/>
                <w:lang w:eastAsia="zh-CN"/>
              </w:rPr>
              <w:t>五</w:t>
            </w:r>
            <w:r>
              <w:rPr>
                <w:rFonts w:hint="eastAsia" w:ascii="宋体" w:hAnsi="宋体" w:cs="宋体"/>
                <w:color w:val="auto"/>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blHeader/>
          <w:jc w:val="center"/>
        </w:trPr>
        <w:tc>
          <w:tcPr>
            <w:tcW w:w="712" w:type="dxa"/>
            <w:vMerge w:val="continue"/>
            <w:tcBorders>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828" w:type="dxa"/>
            <w:vMerge w:val="continue"/>
            <w:tcBorders>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p>
        </w:tc>
        <w:tc>
          <w:tcPr>
            <w:tcW w:w="1616" w:type="dxa"/>
            <w:vMerge w:val="continue"/>
            <w:tcBorders>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p>
        </w:tc>
        <w:tc>
          <w:tcPr>
            <w:tcW w:w="2403" w:type="dxa"/>
            <w:vMerge w:val="continue"/>
            <w:tcBorders>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p>
        </w:tc>
        <w:tc>
          <w:tcPr>
            <w:tcW w:w="3897" w:type="dxa"/>
            <w:tcBorders>
              <w:top w:val="single" w:color="auto" w:sz="4" w:space="0"/>
              <w:left w:val="single" w:color="auto" w:sz="4" w:space="0"/>
              <w:bottom w:val="single" w:color="auto" w:sz="4" w:space="0"/>
              <w:right w:val="single" w:color="auto" w:sz="4" w:space="0"/>
            </w:tcBorders>
            <w:vAlign w:val="center"/>
          </w:tcPr>
          <w:p>
            <w:pPr>
              <w:widowControl/>
              <w:shd w:val="clear" w:color="040000" w:fill="FFFFFF"/>
              <w:ind w:firstLine="270" w:firstLineChars="150"/>
              <w:contextualSpacing/>
              <w:rPr>
                <w:rFonts w:hint="eastAsia" w:ascii="宋体" w:hAnsi="宋体" w:cs="宋体"/>
                <w:color w:val="auto"/>
                <w:sz w:val="18"/>
                <w:szCs w:val="18"/>
                <w:shd w:val="clear" w:color="080000" w:fill="FFFFFF"/>
              </w:rPr>
            </w:pPr>
            <w:r>
              <w:rPr>
                <w:rFonts w:hint="eastAsia" w:ascii="宋体" w:hAnsi="宋体" w:cs="宋体"/>
                <w:color w:val="auto"/>
                <w:sz w:val="18"/>
                <w:szCs w:val="18"/>
                <w:shd w:val="clear" w:color="080000" w:fill="FFFFFF"/>
              </w:rPr>
              <w:t>本法规定的其他建设工程验收后申请消防备案，经依法抽查不合格，建设单位不停止使用,造成严重影响和危害后果的。</w:t>
            </w:r>
          </w:p>
          <w:p>
            <w:pPr>
              <w:contextualSpacing/>
              <w:rPr>
                <w:rFonts w:hint="eastAsia" w:ascii="宋体" w:hAnsi="宋体"/>
                <w:color w:val="auto"/>
                <w:sz w:val="18"/>
                <w:szCs w:val="18"/>
              </w:rPr>
            </w:pPr>
          </w:p>
        </w:tc>
        <w:tc>
          <w:tcPr>
            <w:tcW w:w="3430" w:type="dxa"/>
            <w:tcBorders>
              <w:top w:val="single" w:color="auto" w:sz="4" w:space="0"/>
              <w:left w:val="single" w:color="auto" w:sz="4" w:space="0"/>
              <w:bottom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责令停止使用，并处十</w:t>
            </w:r>
            <w:r>
              <w:rPr>
                <w:rFonts w:hint="eastAsia" w:ascii="宋体" w:hAnsi="宋体" w:cs="宋体"/>
                <w:color w:val="auto"/>
                <w:sz w:val="18"/>
                <w:szCs w:val="18"/>
                <w:lang w:eastAsia="zh-CN"/>
              </w:rPr>
              <w:t>五</w:t>
            </w:r>
            <w:r>
              <w:rPr>
                <w:rFonts w:hint="eastAsia" w:ascii="宋体" w:hAnsi="宋体" w:cs="宋体"/>
                <w:color w:val="auto"/>
                <w:sz w:val="18"/>
                <w:szCs w:val="18"/>
              </w:rPr>
              <w:t>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blHeader/>
          <w:jc w:val="center"/>
        </w:trPr>
        <w:tc>
          <w:tcPr>
            <w:tcW w:w="712" w:type="dxa"/>
            <w:vMerge w:val="restart"/>
            <w:tcBorders>
              <w:top w:val="single" w:color="auto" w:sz="4" w:space="0"/>
              <w:right w:val="single" w:color="auto" w:sz="4" w:space="0"/>
            </w:tcBorders>
            <w:vAlign w:val="center"/>
          </w:tcPr>
          <w:p>
            <w:pPr>
              <w:contextualSpacing/>
              <w:jc w:val="center"/>
              <w:rPr>
                <w:rFonts w:hint="eastAsia" w:ascii="宋体" w:hAnsi="宋体"/>
                <w:color w:val="auto"/>
                <w:sz w:val="18"/>
                <w:szCs w:val="18"/>
              </w:rPr>
            </w:pPr>
            <w:r>
              <w:rPr>
                <w:rFonts w:ascii="宋体" w:hAnsi="宋体"/>
                <w:color w:val="auto"/>
                <w:sz w:val="18"/>
                <w:szCs w:val="18"/>
              </w:rPr>
              <w:t>3</w:t>
            </w:r>
          </w:p>
        </w:tc>
        <w:tc>
          <w:tcPr>
            <w:tcW w:w="1828" w:type="dxa"/>
            <w:vMerge w:val="restart"/>
            <w:tcBorders>
              <w:top w:val="single" w:color="auto" w:sz="4" w:space="0"/>
              <w:left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建设单位未按本法规定在验收后报住房和城乡建设主管部门备案的。</w:t>
            </w:r>
          </w:p>
        </w:tc>
        <w:tc>
          <w:tcPr>
            <w:tcW w:w="1616" w:type="dxa"/>
            <w:vMerge w:val="restart"/>
            <w:tcBorders>
              <w:top w:val="single" w:color="auto" w:sz="4" w:space="0"/>
              <w:left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《中华人民共和国消防法》第58条第</w:t>
            </w:r>
            <w:r>
              <w:rPr>
                <w:rFonts w:hint="eastAsia" w:ascii="宋体" w:hAnsi="宋体" w:cs="宋体"/>
                <w:color w:val="auto"/>
                <w:sz w:val="18"/>
                <w:szCs w:val="18"/>
                <w:lang w:val="en-US" w:eastAsia="zh-CN"/>
              </w:rPr>
              <w:t>3</w:t>
            </w:r>
            <w:r>
              <w:rPr>
                <w:rFonts w:hint="eastAsia" w:ascii="宋体" w:hAnsi="宋体" w:cs="宋体"/>
                <w:color w:val="auto"/>
                <w:sz w:val="18"/>
                <w:szCs w:val="18"/>
              </w:rPr>
              <w:t>款。</w:t>
            </w:r>
          </w:p>
        </w:tc>
        <w:tc>
          <w:tcPr>
            <w:tcW w:w="2403" w:type="dxa"/>
            <w:vMerge w:val="restart"/>
            <w:tcBorders>
              <w:top w:val="single" w:color="auto" w:sz="4" w:space="0"/>
              <w:left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责令改正，处五千元以下的罚款。</w:t>
            </w:r>
          </w:p>
        </w:tc>
        <w:tc>
          <w:tcPr>
            <w:tcW w:w="3897" w:type="dxa"/>
            <w:tcBorders>
              <w:top w:val="single" w:color="auto" w:sz="4" w:space="0"/>
              <w:left w:val="single" w:color="auto" w:sz="4" w:space="0"/>
              <w:bottom w:val="single" w:color="auto" w:sz="4" w:space="0"/>
              <w:right w:val="single" w:color="auto" w:sz="4" w:space="0"/>
            </w:tcBorders>
            <w:vAlign w:val="center"/>
          </w:tcPr>
          <w:p>
            <w:pPr>
              <w:contextualSpacing/>
              <w:rPr>
                <w:rFonts w:ascii="宋体" w:hAnsi="宋体"/>
                <w:color w:val="auto"/>
                <w:sz w:val="18"/>
                <w:szCs w:val="18"/>
              </w:rPr>
            </w:pPr>
            <w:r>
              <w:rPr>
                <w:rFonts w:hint="eastAsia" w:ascii="宋体" w:hAnsi="宋体" w:cs="宋体"/>
                <w:color w:val="auto"/>
                <w:sz w:val="18"/>
                <w:szCs w:val="18"/>
              </w:rPr>
              <w:t>1、未按规定时限备案尚未投入使用的。</w:t>
            </w:r>
          </w:p>
        </w:tc>
        <w:tc>
          <w:tcPr>
            <w:tcW w:w="3430" w:type="dxa"/>
            <w:tcBorders>
              <w:top w:val="single" w:color="auto" w:sz="4" w:space="0"/>
              <w:left w:val="single" w:color="auto" w:sz="4" w:space="0"/>
              <w:bottom w:val="single" w:color="auto" w:sz="4" w:space="0"/>
            </w:tcBorders>
            <w:vAlign w:val="center"/>
          </w:tcPr>
          <w:p>
            <w:pPr>
              <w:contextualSpacing/>
              <w:rPr>
                <w:rFonts w:ascii="宋体" w:hAnsi="宋体"/>
                <w:color w:val="auto"/>
                <w:sz w:val="18"/>
                <w:szCs w:val="18"/>
              </w:rPr>
            </w:pPr>
            <w:r>
              <w:rPr>
                <w:rFonts w:hint="eastAsia" w:ascii="宋体" w:hAnsi="宋体" w:cs="宋体"/>
                <w:color w:val="auto"/>
                <w:kern w:val="0"/>
                <w:sz w:val="18"/>
                <w:szCs w:val="18"/>
              </w:rPr>
              <w:t>责令改正，处一千五百元以下罚款。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blHeader/>
          <w:jc w:val="center"/>
        </w:trPr>
        <w:tc>
          <w:tcPr>
            <w:tcW w:w="712" w:type="dxa"/>
            <w:vMerge w:val="continue"/>
            <w:tcBorders>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828" w:type="dxa"/>
            <w:vMerge w:val="continue"/>
            <w:tcBorders>
              <w:left w:val="single" w:color="auto" w:sz="4" w:space="0"/>
              <w:right w:val="single" w:color="auto" w:sz="4" w:space="0"/>
            </w:tcBorders>
            <w:vAlign w:val="center"/>
          </w:tcPr>
          <w:p>
            <w:pPr>
              <w:contextualSpacing/>
              <w:rPr>
                <w:rFonts w:hint="eastAsia" w:ascii="宋体" w:hAnsi="宋体"/>
                <w:color w:val="auto"/>
                <w:sz w:val="18"/>
                <w:szCs w:val="18"/>
              </w:rPr>
            </w:pPr>
          </w:p>
        </w:tc>
        <w:tc>
          <w:tcPr>
            <w:tcW w:w="1616" w:type="dxa"/>
            <w:vMerge w:val="continue"/>
            <w:tcBorders>
              <w:left w:val="single" w:color="auto" w:sz="4" w:space="0"/>
              <w:right w:val="single" w:color="auto" w:sz="4" w:space="0"/>
            </w:tcBorders>
            <w:vAlign w:val="center"/>
          </w:tcPr>
          <w:p>
            <w:pPr>
              <w:contextualSpacing/>
              <w:rPr>
                <w:rFonts w:hint="eastAsia" w:ascii="宋体" w:hAnsi="宋体"/>
                <w:color w:val="auto"/>
                <w:sz w:val="18"/>
                <w:szCs w:val="18"/>
              </w:rPr>
            </w:pPr>
          </w:p>
        </w:tc>
        <w:tc>
          <w:tcPr>
            <w:tcW w:w="2403" w:type="dxa"/>
            <w:vMerge w:val="continue"/>
            <w:tcBorders>
              <w:left w:val="single" w:color="auto" w:sz="4" w:space="0"/>
              <w:right w:val="single" w:color="auto" w:sz="4" w:space="0"/>
            </w:tcBorders>
            <w:vAlign w:val="center"/>
          </w:tcPr>
          <w:p>
            <w:pPr>
              <w:contextualSpacing/>
              <w:rPr>
                <w:rFonts w:hint="eastAsia" w:ascii="宋体" w:hAnsi="宋体"/>
                <w:color w:val="auto"/>
                <w:sz w:val="18"/>
                <w:szCs w:val="18"/>
              </w:rPr>
            </w:pPr>
          </w:p>
        </w:tc>
        <w:tc>
          <w:tcPr>
            <w:tcW w:w="3897"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2、未按规定时限备案且已投入使用的。</w:t>
            </w:r>
          </w:p>
        </w:tc>
        <w:tc>
          <w:tcPr>
            <w:tcW w:w="3430" w:type="dxa"/>
            <w:tcBorders>
              <w:top w:val="single" w:color="auto" w:sz="4" w:space="0"/>
              <w:left w:val="single" w:color="auto" w:sz="4" w:space="0"/>
              <w:bottom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kern w:val="0"/>
                <w:sz w:val="18"/>
                <w:szCs w:val="18"/>
              </w:rPr>
              <w:t>责令改正，处一千五百元以上三千元以下罚款。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blHeader/>
          <w:jc w:val="center"/>
        </w:trPr>
        <w:tc>
          <w:tcPr>
            <w:tcW w:w="712" w:type="dxa"/>
            <w:vMerge w:val="continue"/>
            <w:tcBorders>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828" w:type="dxa"/>
            <w:vMerge w:val="continue"/>
            <w:tcBorders>
              <w:left w:val="single" w:color="auto" w:sz="4" w:space="0"/>
              <w:right w:val="single" w:color="auto" w:sz="4" w:space="0"/>
            </w:tcBorders>
            <w:vAlign w:val="center"/>
          </w:tcPr>
          <w:p>
            <w:pPr>
              <w:contextualSpacing/>
              <w:rPr>
                <w:rFonts w:hint="eastAsia" w:ascii="宋体" w:hAnsi="宋体"/>
                <w:color w:val="auto"/>
                <w:sz w:val="18"/>
                <w:szCs w:val="18"/>
              </w:rPr>
            </w:pPr>
          </w:p>
        </w:tc>
        <w:tc>
          <w:tcPr>
            <w:tcW w:w="1616" w:type="dxa"/>
            <w:vMerge w:val="continue"/>
            <w:tcBorders>
              <w:left w:val="single" w:color="auto" w:sz="4" w:space="0"/>
              <w:right w:val="single" w:color="auto" w:sz="4" w:space="0"/>
            </w:tcBorders>
            <w:vAlign w:val="center"/>
          </w:tcPr>
          <w:p>
            <w:pPr>
              <w:contextualSpacing/>
              <w:rPr>
                <w:rFonts w:hint="eastAsia" w:ascii="宋体" w:hAnsi="宋体"/>
                <w:color w:val="auto"/>
                <w:sz w:val="18"/>
                <w:szCs w:val="18"/>
              </w:rPr>
            </w:pPr>
          </w:p>
        </w:tc>
        <w:tc>
          <w:tcPr>
            <w:tcW w:w="2403" w:type="dxa"/>
            <w:vMerge w:val="continue"/>
            <w:tcBorders>
              <w:left w:val="single" w:color="auto" w:sz="4" w:space="0"/>
              <w:right w:val="single" w:color="auto" w:sz="4" w:space="0"/>
            </w:tcBorders>
            <w:vAlign w:val="center"/>
          </w:tcPr>
          <w:p>
            <w:pPr>
              <w:contextualSpacing/>
              <w:rPr>
                <w:rFonts w:hint="eastAsia" w:ascii="宋体" w:hAnsi="宋体"/>
                <w:color w:val="auto"/>
                <w:sz w:val="18"/>
                <w:szCs w:val="18"/>
              </w:rPr>
            </w:pPr>
          </w:p>
        </w:tc>
        <w:tc>
          <w:tcPr>
            <w:tcW w:w="3897"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3、未按规定时限备案已投入使用,造成一定影响或危害后果的。</w:t>
            </w:r>
          </w:p>
        </w:tc>
        <w:tc>
          <w:tcPr>
            <w:tcW w:w="3430" w:type="dxa"/>
            <w:tcBorders>
              <w:top w:val="single" w:color="auto" w:sz="4" w:space="0"/>
              <w:left w:val="single" w:color="auto" w:sz="4" w:space="0"/>
              <w:bottom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kern w:val="0"/>
                <w:sz w:val="18"/>
                <w:szCs w:val="18"/>
              </w:rPr>
              <w:t>责令改正，处三千元以上五千元以下罚款。</w:t>
            </w:r>
          </w:p>
        </w:tc>
      </w:tr>
    </w:tbl>
    <w:p>
      <w:pPr>
        <w:contextualSpacing/>
        <w:rPr>
          <w:rFonts w:hint="eastAsia"/>
          <w:color w:val="auto"/>
        </w:rPr>
      </w:pPr>
    </w:p>
    <w:p>
      <w:pPr>
        <w:contextualSpacing/>
        <w:rPr>
          <w:rFonts w:hint="eastAsia"/>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648"/>
        <w:gridCol w:w="1486"/>
        <w:gridCol w:w="1934"/>
        <w:gridCol w:w="3960"/>
        <w:gridCol w:w="4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jc w:val="center"/>
        </w:trPr>
        <w:tc>
          <w:tcPr>
            <w:tcW w:w="712" w:type="dxa"/>
            <w:tcBorders>
              <w:top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序号</w:t>
            </w:r>
          </w:p>
        </w:tc>
        <w:tc>
          <w:tcPr>
            <w:tcW w:w="1648"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违法行为</w:t>
            </w:r>
          </w:p>
        </w:tc>
        <w:tc>
          <w:tcPr>
            <w:tcW w:w="1486"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法律依据</w:t>
            </w:r>
          </w:p>
        </w:tc>
        <w:tc>
          <w:tcPr>
            <w:tcW w:w="1934"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法定处罚标准</w:t>
            </w:r>
          </w:p>
        </w:tc>
        <w:tc>
          <w:tcPr>
            <w:tcW w:w="396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自由裁量情形</w:t>
            </w:r>
          </w:p>
        </w:tc>
        <w:tc>
          <w:tcPr>
            <w:tcW w:w="4149" w:type="dxa"/>
            <w:tcBorders>
              <w:top w:val="single" w:color="auto" w:sz="4" w:space="0"/>
              <w:left w:val="single" w:color="auto" w:sz="4" w:space="0"/>
              <w:bottom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自由裁量细化标准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jc w:val="center"/>
        </w:trPr>
        <w:tc>
          <w:tcPr>
            <w:tcW w:w="712" w:type="dxa"/>
            <w:vMerge w:val="restart"/>
            <w:tcBorders>
              <w:top w:val="single" w:color="auto" w:sz="4" w:space="0"/>
              <w:right w:val="single" w:color="auto" w:sz="4" w:space="0"/>
            </w:tcBorders>
            <w:vAlign w:val="center"/>
          </w:tcPr>
          <w:p>
            <w:pPr>
              <w:contextualSpacing/>
              <w:jc w:val="center"/>
              <w:rPr>
                <w:rFonts w:hint="eastAsia" w:ascii="宋体" w:hAnsi="宋体"/>
                <w:color w:val="auto"/>
                <w:sz w:val="18"/>
                <w:szCs w:val="18"/>
              </w:rPr>
            </w:pPr>
            <w:r>
              <w:rPr>
                <w:rFonts w:ascii="宋体" w:hAnsi="宋体"/>
                <w:color w:val="auto"/>
                <w:sz w:val="18"/>
                <w:szCs w:val="18"/>
              </w:rPr>
              <w:t>4</w:t>
            </w:r>
          </w:p>
        </w:tc>
        <w:tc>
          <w:tcPr>
            <w:tcW w:w="1648" w:type="dxa"/>
            <w:vMerge w:val="restart"/>
            <w:tcBorders>
              <w:top w:val="single" w:color="auto" w:sz="4" w:space="0"/>
              <w:left w:val="single" w:color="auto" w:sz="4" w:space="0"/>
              <w:right w:val="single" w:color="auto" w:sz="4" w:space="0"/>
            </w:tcBorders>
            <w:vAlign w:val="center"/>
          </w:tcPr>
          <w:p>
            <w:pPr>
              <w:widowControl/>
              <w:shd w:val="clear" w:color="040000" w:fill="FFFFFF"/>
              <w:contextualSpacing/>
              <w:rPr>
                <w:rFonts w:hint="eastAsia" w:ascii="Arial" w:hAnsi="Arial" w:cs="Arial"/>
                <w:color w:val="auto"/>
                <w:sz w:val="18"/>
                <w:szCs w:val="18"/>
                <w:shd w:val="clear" w:color="080000" w:fill="FFFFFF"/>
              </w:rPr>
            </w:pPr>
            <w:r>
              <w:rPr>
                <w:rFonts w:hint="eastAsia" w:ascii="Arial" w:hAnsi="Arial" w:cs="Arial"/>
                <w:color w:val="auto"/>
                <w:sz w:val="18"/>
                <w:szCs w:val="18"/>
                <w:shd w:val="clear" w:color="080000" w:fill="FFFFFF"/>
              </w:rPr>
              <w:t>建设单位要求建筑设计单位或者建筑施工企业降低消防技术标准设计、施工的。</w:t>
            </w:r>
          </w:p>
          <w:p>
            <w:pPr>
              <w:widowControl/>
              <w:shd w:val="clear" w:color="040000" w:fill="FFFFFF"/>
              <w:contextualSpacing/>
              <w:rPr>
                <w:rFonts w:hint="eastAsia" w:ascii="宋体" w:hAnsi="宋体"/>
                <w:color w:val="auto"/>
                <w:sz w:val="18"/>
                <w:szCs w:val="18"/>
              </w:rPr>
            </w:pPr>
          </w:p>
        </w:tc>
        <w:tc>
          <w:tcPr>
            <w:tcW w:w="1486" w:type="dxa"/>
            <w:vMerge w:val="restart"/>
            <w:tcBorders>
              <w:top w:val="single" w:color="auto" w:sz="4" w:space="0"/>
              <w:left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《中华人民共和国消防法》第59条，第1项。</w:t>
            </w:r>
          </w:p>
        </w:tc>
        <w:tc>
          <w:tcPr>
            <w:tcW w:w="1934" w:type="dxa"/>
            <w:vMerge w:val="restart"/>
            <w:tcBorders>
              <w:top w:val="single" w:color="auto" w:sz="4" w:space="0"/>
              <w:left w:val="single" w:color="auto" w:sz="4" w:space="0"/>
              <w:right w:val="single" w:color="auto" w:sz="4" w:space="0"/>
            </w:tcBorders>
            <w:vAlign w:val="center"/>
          </w:tcPr>
          <w:p>
            <w:pPr>
              <w:widowControl/>
              <w:shd w:val="clear" w:color="040000" w:fill="FFFFFF"/>
              <w:contextualSpacing/>
              <w:jc w:val="left"/>
              <w:rPr>
                <w:rFonts w:hint="eastAsia" w:ascii="宋体" w:hAnsi="宋体" w:cs="宋体"/>
                <w:color w:val="auto"/>
                <w:kern w:val="0"/>
                <w:sz w:val="18"/>
                <w:szCs w:val="18"/>
                <w:shd w:val="clear" w:color="0A0000" w:fill="FFFFFF"/>
              </w:rPr>
            </w:pPr>
            <w:r>
              <w:rPr>
                <w:rFonts w:hint="eastAsia" w:ascii="宋体" w:hAnsi="宋体" w:cs="宋体"/>
                <w:color w:val="auto"/>
                <w:kern w:val="0"/>
                <w:sz w:val="18"/>
                <w:szCs w:val="18"/>
                <w:shd w:val="clear" w:color="0A0000" w:fill="FFFFFF"/>
              </w:rPr>
              <w:t xml:space="preserve">责令改正或者停止施工，并处一万元以上十万元以下罚款。 </w:t>
            </w:r>
          </w:p>
          <w:p>
            <w:pPr>
              <w:contextualSpacing/>
              <w:rPr>
                <w:rFonts w:hint="eastAsia" w:ascii="宋体" w:hAnsi="宋体"/>
                <w:color w:val="auto"/>
                <w:sz w:val="18"/>
                <w:szCs w:val="18"/>
              </w:rPr>
            </w:pPr>
          </w:p>
        </w:tc>
        <w:tc>
          <w:tcPr>
            <w:tcW w:w="396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1、建筑总面积不足5000㎡的。</w:t>
            </w:r>
          </w:p>
        </w:tc>
        <w:tc>
          <w:tcPr>
            <w:tcW w:w="4149" w:type="dxa"/>
            <w:tcBorders>
              <w:top w:val="single" w:color="auto" w:sz="4" w:space="0"/>
              <w:left w:val="single" w:color="auto" w:sz="4" w:space="0"/>
              <w:bottom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处一万以上三万以下罚款。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blHeader/>
          <w:jc w:val="center"/>
        </w:trPr>
        <w:tc>
          <w:tcPr>
            <w:tcW w:w="712" w:type="dxa"/>
            <w:vMerge w:val="continue"/>
            <w:tcBorders>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648"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486"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934"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396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2、建筑总面积5000㎡以上不足20000㎡的。</w:t>
            </w:r>
          </w:p>
        </w:tc>
        <w:tc>
          <w:tcPr>
            <w:tcW w:w="4149" w:type="dxa"/>
            <w:tcBorders>
              <w:top w:val="single" w:color="auto" w:sz="4" w:space="0"/>
              <w:left w:val="single" w:color="auto" w:sz="4" w:space="0"/>
              <w:bottom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处三万以上七万以下罚款。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jc w:val="center"/>
        </w:trPr>
        <w:tc>
          <w:tcPr>
            <w:tcW w:w="712" w:type="dxa"/>
            <w:vMerge w:val="continue"/>
            <w:tcBorders>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648"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486"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934"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396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3、建筑总面积20000㎡以上的。</w:t>
            </w:r>
          </w:p>
        </w:tc>
        <w:tc>
          <w:tcPr>
            <w:tcW w:w="4149" w:type="dxa"/>
            <w:tcBorders>
              <w:top w:val="single" w:color="auto" w:sz="4" w:space="0"/>
              <w:left w:val="single" w:color="auto" w:sz="4" w:space="0"/>
              <w:bottom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 xml:space="preserve"> 处七万以上十万以下罚款。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blHeader/>
          <w:jc w:val="center"/>
        </w:trPr>
        <w:tc>
          <w:tcPr>
            <w:tcW w:w="712" w:type="dxa"/>
            <w:vMerge w:val="restart"/>
            <w:tcBorders>
              <w:top w:val="single" w:color="auto" w:sz="4" w:space="0"/>
              <w:right w:val="single" w:color="auto" w:sz="4" w:space="0"/>
            </w:tcBorders>
            <w:vAlign w:val="center"/>
          </w:tcPr>
          <w:p>
            <w:pPr>
              <w:contextualSpacing/>
              <w:jc w:val="center"/>
              <w:rPr>
                <w:rFonts w:hint="eastAsia" w:ascii="宋体" w:hAnsi="宋体"/>
                <w:color w:val="auto"/>
                <w:sz w:val="18"/>
                <w:szCs w:val="18"/>
              </w:rPr>
            </w:pPr>
            <w:r>
              <w:rPr>
                <w:rFonts w:ascii="宋体" w:hAnsi="宋体"/>
                <w:color w:val="auto"/>
                <w:sz w:val="18"/>
                <w:szCs w:val="18"/>
              </w:rPr>
              <w:t>5</w:t>
            </w:r>
          </w:p>
        </w:tc>
        <w:tc>
          <w:tcPr>
            <w:tcW w:w="1648" w:type="dxa"/>
            <w:vMerge w:val="restart"/>
            <w:tcBorders>
              <w:top w:val="single" w:color="auto" w:sz="4" w:space="0"/>
              <w:left w:val="single" w:color="auto" w:sz="4" w:space="0"/>
              <w:right w:val="single" w:color="auto" w:sz="4" w:space="0"/>
            </w:tcBorders>
            <w:vAlign w:val="center"/>
          </w:tcPr>
          <w:p>
            <w:pPr>
              <w:contextualSpacing/>
              <w:jc w:val="center"/>
              <w:rPr>
                <w:rFonts w:hint="eastAsia" w:ascii="宋体" w:hAnsi="宋体"/>
                <w:color w:val="auto"/>
                <w:sz w:val="18"/>
                <w:szCs w:val="18"/>
              </w:rPr>
            </w:pPr>
            <w:r>
              <w:rPr>
                <w:rFonts w:hint="eastAsia" w:ascii="Arial" w:hAnsi="Arial" w:cs="Arial"/>
                <w:color w:val="auto"/>
                <w:sz w:val="18"/>
                <w:szCs w:val="18"/>
                <w:shd w:val="clear" w:color="080000" w:fill="FFFFFF"/>
              </w:rPr>
              <w:t>建筑施工企业不按照消防设计文件和消防技术标准施工，降低消防施工质量的。</w:t>
            </w:r>
          </w:p>
        </w:tc>
        <w:tc>
          <w:tcPr>
            <w:tcW w:w="1486" w:type="dxa"/>
            <w:vMerge w:val="restart"/>
            <w:tcBorders>
              <w:top w:val="single" w:color="auto" w:sz="4" w:space="0"/>
              <w:left w:val="single" w:color="auto" w:sz="4" w:space="0"/>
              <w:right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《中华人民共和国消防法》第59条，第3项。</w:t>
            </w:r>
          </w:p>
        </w:tc>
        <w:tc>
          <w:tcPr>
            <w:tcW w:w="1934" w:type="dxa"/>
            <w:vMerge w:val="restart"/>
            <w:tcBorders>
              <w:top w:val="single" w:color="auto" w:sz="4" w:space="0"/>
              <w:left w:val="single" w:color="auto" w:sz="4" w:space="0"/>
              <w:right w:val="single" w:color="auto" w:sz="4" w:space="0"/>
            </w:tcBorders>
            <w:vAlign w:val="center"/>
          </w:tcPr>
          <w:p>
            <w:pPr>
              <w:widowControl/>
              <w:shd w:val="clear" w:color="040000" w:fill="FFFFFF"/>
              <w:contextualSpacing/>
              <w:jc w:val="left"/>
              <w:rPr>
                <w:rFonts w:hint="eastAsia" w:ascii="宋体" w:hAnsi="宋体" w:cs="宋体"/>
                <w:color w:val="auto"/>
                <w:kern w:val="0"/>
                <w:sz w:val="18"/>
                <w:szCs w:val="18"/>
                <w:shd w:val="clear" w:color="0A0000" w:fill="FFFFFF"/>
              </w:rPr>
            </w:pPr>
            <w:r>
              <w:rPr>
                <w:rFonts w:hint="eastAsia" w:ascii="宋体" w:hAnsi="宋体" w:cs="宋体"/>
                <w:color w:val="auto"/>
                <w:kern w:val="0"/>
                <w:sz w:val="18"/>
                <w:szCs w:val="18"/>
                <w:shd w:val="clear" w:color="0A0000" w:fill="FFFFFF"/>
              </w:rPr>
              <w:t xml:space="preserve">责令改正或者停止施工，并处一万元以上十万元以下罚款。 </w:t>
            </w:r>
          </w:p>
          <w:p>
            <w:pPr>
              <w:contextualSpacing/>
              <w:jc w:val="center"/>
              <w:rPr>
                <w:rFonts w:hint="eastAsia" w:ascii="宋体" w:hAnsi="宋体"/>
                <w:color w:val="auto"/>
                <w:sz w:val="18"/>
                <w:szCs w:val="18"/>
              </w:rPr>
            </w:pPr>
          </w:p>
        </w:tc>
        <w:tc>
          <w:tcPr>
            <w:tcW w:w="396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1、建筑总面积不足5000㎡的。</w:t>
            </w:r>
          </w:p>
        </w:tc>
        <w:tc>
          <w:tcPr>
            <w:tcW w:w="4149" w:type="dxa"/>
            <w:tcBorders>
              <w:top w:val="single" w:color="auto" w:sz="4" w:space="0"/>
              <w:left w:val="single" w:color="auto" w:sz="4" w:space="0"/>
              <w:bottom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处一万以上三万以下罚款。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tblHeader/>
          <w:jc w:val="center"/>
        </w:trPr>
        <w:tc>
          <w:tcPr>
            <w:tcW w:w="712" w:type="dxa"/>
            <w:vMerge w:val="continue"/>
            <w:tcBorders>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648"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486"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934"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396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2、建筑总面积5000㎡以上不足20000㎡的。</w:t>
            </w:r>
          </w:p>
        </w:tc>
        <w:tc>
          <w:tcPr>
            <w:tcW w:w="4149" w:type="dxa"/>
            <w:tcBorders>
              <w:top w:val="single" w:color="auto" w:sz="4" w:space="0"/>
              <w:left w:val="single" w:color="auto" w:sz="4" w:space="0"/>
              <w:bottom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处三万以上七万以下罚款。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blHeader/>
          <w:jc w:val="center"/>
        </w:trPr>
        <w:tc>
          <w:tcPr>
            <w:tcW w:w="712" w:type="dxa"/>
            <w:vMerge w:val="continue"/>
            <w:tcBorders>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648"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486"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934"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396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3、建筑总面积20000㎡以上的。</w:t>
            </w:r>
          </w:p>
        </w:tc>
        <w:tc>
          <w:tcPr>
            <w:tcW w:w="4149" w:type="dxa"/>
            <w:tcBorders>
              <w:top w:val="single" w:color="auto" w:sz="4" w:space="0"/>
              <w:left w:val="single" w:color="auto" w:sz="4" w:space="0"/>
              <w:bottom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处七万以上十万以下罚款。</w:t>
            </w:r>
          </w:p>
        </w:tc>
      </w:tr>
    </w:tbl>
    <w:p>
      <w:pPr>
        <w:contextualSpacing/>
        <w:rPr>
          <w:rFonts w:hint="eastAsia"/>
          <w:color w:val="auto"/>
        </w:rPr>
      </w:pPr>
    </w:p>
    <w:p>
      <w:pPr>
        <w:contextualSpacing/>
        <w:rPr>
          <w:rFonts w:hint="eastAsia"/>
          <w:color w:val="auto"/>
        </w:rPr>
      </w:pPr>
    </w:p>
    <w:p>
      <w:pPr>
        <w:contextualSpacing/>
        <w:rPr>
          <w:rFonts w:hint="eastAsia"/>
          <w:color w:val="auto"/>
        </w:rPr>
      </w:pPr>
    </w:p>
    <w:p>
      <w:pPr>
        <w:contextualSpacing/>
        <w:rPr>
          <w:rFonts w:hint="eastAsia"/>
          <w:color w:val="auto"/>
        </w:rPr>
      </w:pPr>
    </w:p>
    <w:p>
      <w:pPr>
        <w:contextualSpacing/>
        <w:rPr>
          <w:rFonts w:hint="eastAsia"/>
          <w:color w:val="auto"/>
        </w:rPr>
      </w:pPr>
    </w:p>
    <w:p>
      <w:pPr>
        <w:contextualSpacing/>
        <w:rPr>
          <w:rFonts w:hint="eastAsia"/>
          <w:color w:val="auto"/>
        </w:rPr>
      </w:pPr>
    </w:p>
    <w:p>
      <w:pPr>
        <w:contextualSpacing/>
        <w:rPr>
          <w:rFonts w:hint="eastAsia"/>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56"/>
        <w:gridCol w:w="1602"/>
        <w:gridCol w:w="2653"/>
        <w:gridCol w:w="3346"/>
        <w:gridCol w:w="3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blHeader/>
          <w:jc w:val="center"/>
        </w:trPr>
        <w:tc>
          <w:tcPr>
            <w:tcW w:w="712" w:type="dxa"/>
            <w:tcBorders>
              <w:top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序号</w:t>
            </w:r>
          </w:p>
        </w:tc>
        <w:tc>
          <w:tcPr>
            <w:tcW w:w="1856"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违法行为</w:t>
            </w:r>
          </w:p>
        </w:tc>
        <w:tc>
          <w:tcPr>
            <w:tcW w:w="1602"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法律依据</w:t>
            </w:r>
          </w:p>
        </w:tc>
        <w:tc>
          <w:tcPr>
            <w:tcW w:w="2653"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法定处罚标准</w:t>
            </w:r>
          </w:p>
        </w:tc>
        <w:tc>
          <w:tcPr>
            <w:tcW w:w="3346"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自由裁量情形</w:t>
            </w:r>
          </w:p>
        </w:tc>
        <w:tc>
          <w:tcPr>
            <w:tcW w:w="3741" w:type="dxa"/>
            <w:tcBorders>
              <w:top w:val="single" w:color="auto" w:sz="4" w:space="0"/>
              <w:left w:val="single" w:color="auto" w:sz="4" w:space="0"/>
              <w:bottom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自由裁量细化标准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blHeader/>
          <w:jc w:val="center"/>
        </w:trPr>
        <w:tc>
          <w:tcPr>
            <w:tcW w:w="712" w:type="dxa"/>
            <w:vMerge w:val="restart"/>
            <w:tcBorders>
              <w:top w:val="single" w:color="auto" w:sz="4" w:space="0"/>
              <w:right w:val="single" w:color="auto" w:sz="4" w:space="0"/>
            </w:tcBorders>
            <w:vAlign w:val="center"/>
          </w:tcPr>
          <w:p>
            <w:pPr>
              <w:contextualSpacing/>
              <w:jc w:val="center"/>
              <w:rPr>
                <w:rFonts w:hint="eastAsia" w:ascii="宋体"/>
                <w:color w:val="auto"/>
                <w:sz w:val="18"/>
                <w:szCs w:val="18"/>
              </w:rPr>
            </w:pPr>
            <w:r>
              <w:rPr>
                <w:rFonts w:ascii="宋体"/>
                <w:color w:val="auto"/>
                <w:sz w:val="18"/>
                <w:szCs w:val="18"/>
              </w:rPr>
              <w:t>6</w:t>
            </w:r>
          </w:p>
        </w:tc>
        <w:tc>
          <w:tcPr>
            <w:tcW w:w="1856" w:type="dxa"/>
            <w:vMerge w:val="restart"/>
            <w:tcBorders>
              <w:top w:val="single" w:color="auto" w:sz="4" w:space="0"/>
              <w:left w:val="single" w:color="auto" w:sz="4" w:space="0"/>
              <w:right w:val="single" w:color="auto" w:sz="4" w:space="0"/>
            </w:tcBorders>
            <w:vAlign w:val="center"/>
          </w:tcPr>
          <w:p>
            <w:pPr>
              <w:widowControl/>
              <w:shd w:val="clear" w:color="040000" w:fill="FFFFFF"/>
              <w:contextualSpacing/>
              <w:rPr>
                <w:rFonts w:hint="eastAsia" w:ascii="Arial" w:hAnsi="Arial" w:cs="Arial"/>
                <w:color w:val="auto"/>
                <w:sz w:val="18"/>
                <w:szCs w:val="18"/>
                <w:shd w:val="clear" w:color="080000" w:fill="FFFFFF"/>
              </w:rPr>
            </w:pPr>
            <w:r>
              <w:rPr>
                <w:rFonts w:hint="eastAsia" w:ascii="Arial" w:hAnsi="Arial" w:cs="Arial"/>
                <w:color w:val="auto"/>
                <w:sz w:val="18"/>
                <w:szCs w:val="18"/>
                <w:shd w:val="clear" w:color="080000" w:fill="FFFFFF"/>
              </w:rPr>
              <w:t>工程监理单位与建设单位或者建筑施工企业串通，弄虚作假，降低消防施工质量的。</w:t>
            </w:r>
          </w:p>
          <w:p>
            <w:pPr>
              <w:contextualSpacing/>
              <w:rPr>
                <w:rFonts w:hint="eastAsia" w:ascii="宋体" w:hAnsi="宋体"/>
                <w:color w:val="auto"/>
                <w:sz w:val="18"/>
                <w:szCs w:val="18"/>
              </w:rPr>
            </w:pPr>
          </w:p>
        </w:tc>
        <w:tc>
          <w:tcPr>
            <w:tcW w:w="1602" w:type="dxa"/>
            <w:vMerge w:val="restart"/>
            <w:tcBorders>
              <w:top w:val="single" w:color="auto" w:sz="4" w:space="0"/>
              <w:left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《中华人民共和国消防法》第59条，第4项。</w:t>
            </w:r>
          </w:p>
        </w:tc>
        <w:tc>
          <w:tcPr>
            <w:tcW w:w="2653" w:type="dxa"/>
            <w:vMerge w:val="restart"/>
            <w:tcBorders>
              <w:top w:val="single" w:color="auto" w:sz="4" w:space="0"/>
              <w:left w:val="single" w:color="auto" w:sz="4" w:space="0"/>
              <w:right w:val="single" w:color="auto" w:sz="4" w:space="0"/>
            </w:tcBorders>
            <w:vAlign w:val="center"/>
          </w:tcPr>
          <w:p>
            <w:pPr>
              <w:widowControl/>
              <w:shd w:val="clear" w:color="040000" w:fill="FFFFFF"/>
              <w:contextualSpacing/>
              <w:jc w:val="left"/>
              <w:rPr>
                <w:rFonts w:hint="eastAsia" w:ascii="宋体" w:hAnsi="宋体"/>
                <w:color w:val="auto"/>
                <w:sz w:val="18"/>
                <w:szCs w:val="18"/>
              </w:rPr>
            </w:pPr>
            <w:r>
              <w:rPr>
                <w:rFonts w:hint="eastAsia" w:ascii="宋体" w:hAnsi="宋体" w:cs="宋体"/>
                <w:color w:val="auto"/>
                <w:kern w:val="0"/>
                <w:sz w:val="18"/>
                <w:szCs w:val="18"/>
                <w:shd w:val="clear" w:color="0A0000" w:fill="FFFFFF"/>
              </w:rPr>
              <w:t xml:space="preserve">责令改正或者停止施工，并处一万元以上十万元以下罚款。 </w:t>
            </w:r>
          </w:p>
        </w:tc>
        <w:tc>
          <w:tcPr>
            <w:tcW w:w="3346"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1、建筑总面积不足5000㎡的。</w:t>
            </w:r>
          </w:p>
        </w:tc>
        <w:tc>
          <w:tcPr>
            <w:tcW w:w="3741" w:type="dxa"/>
            <w:tcBorders>
              <w:top w:val="single" w:color="auto" w:sz="4" w:space="0"/>
              <w:left w:val="single" w:color="auto" w:sz="4" w:space="0"/>
              <w:bottom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处一万以上三万以下罚款。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blHeader/>
          <w:jc w:val="center"/>
        </w:trPr>
        <w:tc>
          <w:tcPr>
            <w:tcW w:w="712" w:type="dxa"/>
            <w:vMerge w:val="continue"/>
            <w:tcBorders>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856"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602"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2653"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3346"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2、建筑总面积5000㎡以上不足20000㎡的。</w:t>
            </w:r>
          </w:p>
        </w:tc>
        <w:tc>
          <w:tcPr>
            <w:tcW w:w="3741" w:type="dxa"/>
            <w:tcBorders>
              <w:top w:val="single" w:color="auto" w:sz="4" w:space="0"/>
              <w:left w:val="single" w:color="auto" w:sz="4" w:space="0"/>
              <w:bottom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处三万以上七万以下罚款。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tblHeader/>
          <w:jc w:val="center"/>
        </w:trPr>
        <w:tc>
          <w:tcPr>
            <w:tcW w:w="712" w:type="dxa"/>
            <w:vMerge w:val="continue"/>
            <w:tcBorders>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856"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602"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2653"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3346"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3、建筑总面积20000㎡以上的。</w:t>
            </w:r>
          </w:p>
        </w:tc>
        <w:tc>
          <w:tcPr>
            <w:tcW w:w="3741" w:type="dxa"/>
            <w:tcBorders>
              <w:top w:val="single" w:color="auto" w:sz="4" w:space="0"/>
              <w:left w:val="single" w:color="auto" w:sz="4" w:space="0"/>
              <w:bottom w:val="single" w:color="auto" w:sz="4" w:space="0"/>
            </w:tcBorders>
            <w:vAlign w:val="center"/>
          </w:tcPr>
          <w:p>
            <w:pPr>
              <w:contextualSpacing/>
              <w:jc w:val="center"/>
              <w:rPr>
                <w:rFonts w:hint="eastAsia" w:ascii="宋体" w:hAnsi="宋体"/>
                <w:color w:val="auto"/>
                <w:sz w:val="18"/>
                <w:szCs w:val="18"/>
              </w:rPr>
            </w:pPr>
            <w:r>
              <w:rPr>
                <w:rFonts w:hint="eastAsia" w:ascii="宋体" w:hAnsi="宋体" w:cs="宋体"/>
                <w:color w:val="auto"/>
                <w:sz w:val="18"/>
                <w:szCs w:val="18"/>
              </w:rPr>
              <w:t>处七万以上十万以下罚款。</w:t>
            </w:r>
          </w:p>
        </w:tc>
      </w:tr>
    </w:tbl>
    <w:p>
      <w:pPr>
        <w:contextualSpacing/>
        <w:rPr>
          <w:rFonts w:hint="eastAsia"/>
          <w:color w:val="auto"/>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15"/>
        <w:gridCol w:w="1215"/>
        <w:gridCol w:w="1500"/>
        <w:gridCol w:w="7800"/>
        <w:gridCol w:w="1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blHeader/>
          <w:jc w:val="center"/>
        </w:trPr>
        <w:tc>
          <w:tcPr>
            <w:tcW w:w="712" w:type="dxa"/>
            <w:tcBorders>
              <w:top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序号</w:t>
            </w:r>
          </w:p>
        </w:tc>
        <w:tc>
          <w:tcPr>
            <w:tcW w:w="1115"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违法行为</w:t>
            </w:r>
          </w:p>
        </w:tc>
        <w:tc>
          <w:tcPr>
            <w:tcW w:w="1215"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法律依据</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法定处罚标准</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自由裁量情形</w:t>
            </w:r>
          </w:p>
        </w:tc>
        <w:tc>
          <w:tcPr>
            <w:tcW w:w="1556" w:type="dxa"/>
            <w:tcBorders>
              <w:top w:val="single" w:color="auto" w:sz="4" w:space="0"/>
              <w:left w:val="single" w:color="auto" w:sz="4" w:space="0"/>
              <w:bottom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自由裁量细化标准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blHeader/>
          <w:jc w:val="center"/>
        </w:trPr>
        <w:tc>
          <w:tcPr>
            <w:tcW w:w="712" w:type="dxa"/>
            <w:vMerge w:val="restart"/>
            <w:tcBorders>
              <w:top w:val="single" w:color="auto" w:sz="4" w:space="0"/>
              <w:right w:val="single" w:color="auto" w:sz="4" w:space="0"/>
            </w:tcBorders>
            <w:vAlign w:val="center"/>
          </w:tcPr>
          <w:p>
            <w:pPr>
              <w:ind w:firstLine="90" w:firstLineChars="50"/>
              <w:contextualSpacing/>
              <w:jc w:val="center"/>
              <w:rPr>
                <w:rFonts w:hint="eastAsia" w:ascii="宋体" w:hAnsi="宋体"/>
                <w:color w:val="auto"/>
                <w:sz w:val="18"/>
                <w:szCs w:val="18"/>
              </w:rPr>
            </w:pPr>
            <w:r>
              <w:rPr>
                <w:rFonts w:hint="eastAsia" w:ascii="宋体" w:hAnsi="宋体"/>
                <w:color w:val="auto"/>
                <w:sz w:val="18"/>
                <w:szCs w:val="18"/>
              </w:rPr>
              <w:t>7</w:t>
            </w:r>
          </w:p>
        </w:tc>
        <w:tc>
          <w:tcPr>
            <w:tcW w:w="1115" w:type="dxa"/>
            <w:vMerge w:val="restart"/>
            <w:tcBorders>
              <w:top w:val="single" w:color="auto" w:sz="4" w:space="0"/>
              <w:left w:val="single" w:color="auto" w:sz="4" w:space="0"/>
              <w:right w:val="single" w:color="auto" w:sz="4" w:space="0"/>
            </w:tcBorders>
            <w:vAlign w:val="center"/>
          </w:tcPr>
          <w:p>
            <w:pPr>
              <w:widowControl/>
              <w:shd w:val="clear" w:color="040000" w:fill="FFFFFF"/>
              <w:contextualSpacing/>
              <w:rPr>
                <w:rFonts w:hint="eastAsia" w:ascii="宋体" w:hAnsi="宋体" w:cs="宋体"/>
                <w:color w:val="auto"/>
                <w:sz w:val="18"/>
                <w:szCs w:val="18"/>
                <w:shd w:val="clear" w:color="080000" w:fill="FFFFFF"/>
              </w:rPr>
            </w:pPr>
            <w:r>
              <w:rPr>
                <w:rFonts w:hint="eastAsia" w:ascii="宋体" w:hAnsi="宋体" w:cs="宋体"/>
                <w:color w:val="auto"/>
                <w:sz w:val="18"/>
                <w:szCs w:val="18"/>
                <w:shd w:val="clear" w:color="080000" w:fill="FFFFFF"/>
              </w:rPr>
              <w:t>依法应当进行消防设计审查的建设工程，未经依法审查或者审查不合格，擅自施工的；</w:t>
            </w:r>
          </w:p>
          <w:p>
            <w:pPr>
              <w:contextualSpacing/>
              <w:rPr>
                <w:rFonts w:hint="eastAsia" w:ascii="宋体" w:hAnsi="宋体"/>
                <w:color w:val="auto"/>
                <w:sz w:val="18"/>
                <w:szCs w:val="18"/>
              </w:rPr>
            </w:pPr>
          </w:p>
        </w:tc>
        <w:tc>
          <w:tcPr>
            <w:tcW w:w="1215" w:type="dxa"/>
            <w:vMerge w:val="restart"/>
            <w:tcBorders>
              <w:top w:val="single" w:color="auto" w:sz="4" w:space="0"/>
              <w:left w:val="single" w:color="auto" w:sz="4" w:space="0"/>
              <w:right w:val="single" w:color="auto" w:sz="4" w:space="0"/>
            </w:tcBorders>
            <w:vAlign w:val="center"/>
          </w:tcPr>
          <w:p>
            <w:pPr>
              <w:contextualSpacing/>
              <w:rPr>
                <w:rFonts w:hint="eastAsia" w:ascii="宋体" w:hAnsi="宋体"/>
                <w:color w:val="auto"/>
                <w:sz w:val="18"/>
                <w:szCs w:val="18"/>
              </w:rPr>
            </w:pPr>
            <w:r>
              <w:rPr>
                <w:rFonts w:hint="eastAsia" w:ascii="宋体" w:hAnsi="宋体" w:cs="宋体"/>
                <w:color w:val="auto"/>
                <w:sz w:val="18"/>
                <w:szCs w:val="18"/>
              </w:rPr>
              <w:t>《中华人民共和国消防法》第58条，第1款第1项。</w:t>
            </w:r>
          </w:p>
        </w:tc>
        <w:tc>
          <w:tcPr>
            <w:tcW w:w="1500" w:type="dxa"/>
            <w:vMerge w:val="restart"/>
            <w:tcBorders>
              <w:top w:val="single" w:color="auto" w:sz="4" w:space="0"/>
              <w:left w:val="single" w:color="auto" w:sz="4" w:space="0"/>
              <w:right w:val="single" w:color="auto" w:sz="4" w:space="0"/>
            </w:tcBorders>
            <w:vAlign w:val="center"/>
          </w:tcPr>
          <w:p>
            <w:pPr>
              <w:shd w:val="solid" w:color="FFFFFF" w:fill="auto"/>
              <w:autoSpaceDN w:val="0"/>
              <w:spacing w:after="225"/>
              <w:contextualSpacing/>
              <w:rPr>
                <w:rFonts w:ascii="宋体" w:hAnsi="宋体" w:cs="宋体"/>
                <w:color w:val="auto"/>
                <w:sz w:val="18"/>
                <w:szCs w:val="18"/>
              </w:rPr>
            </w:pPr>
            <w:r>
              <w:rPr>
                <w:rFonts w:ascii="宋体" w:hAnsi="宋体" w:cs="宋体"/>
                <w:color w:val="auto"/>
                <w:sz w:val="18"/>
                <w:szCs w:val="18"/>
              </w:rPr>
              <w:t>责令停止施工、停止使用或者停产停业，并处三万元以上三十万元以下罚款:</w:t>
            </w:r>
          </w:p>
          <w:p>
            <w:pPr>
              <w:contextualSpacing/>
              <w:rPr>
                <w:rFonts w:hint="eastAsia" w:ascii="宋体" w:hAnsi="宋体"/>
                <w:color w:val="auto"/>
                <w:sz w:val="18"/>
                <w:szCs w:val="18"/>
              </w:rPr>
            </w:pPr>
          </w:p>
        </w:tc>
        <w:tc>
          <w:tcPr>
            <w:tcW w:w="780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s="宋体"/>
                <w:color w:val="auto"/>
                <w:sz w:val="18"/>
                <w:szCs w:val="18"/>
              </w:rPr>
            </w:pPr>
            <w:r>
              <w:rPr>
                <w:rFonts w:hint="eastAsia" w:ascii="宋体" w:hAnsi="宋体" w:cs="宋体"/>
                <w:color w:val="auto"/>
                <w:sz w:val="18"/>
                <w:szCs w:val="18"/>
              </w:rPr>
              <w:t>1、建筑总面积10000㎡以上，不足30000㎡的宾馆、饭店、商场、市场。</w:t>
            </w:r>
          </w:p>
          <w:p>
            <w:pPr>
              <w:contextualSpacing/>
              <w:rPr>
                <w:rFonts w:hint="eastAsia" w:ascii="宋体" w:hAnsi="宋体" w:cs="宋体"/>
                <w:color w:val="auto"/>
                <w:sz w:val="18"/>
                <w:szCs w:val="18"/>
              </w:rPr>
            </w:pPr>
            <w:r>
              <w:rPr>
                <w:rFonts w:hint="eastAsia" w:ascii="宋体" w:hAnsi="宋体" w:cs="宋体"/>
                <w:color w:val="auto"/>
                <w:sz w:val="18"/>
                <w:szCs w:val="18"/>
              </w:rPr>
              <w:t>2、建筑总面积2500㎡以上不足5000㎡的影剧院、公共图书馆的阅览室，营业性健身房、休闲场馆、医院的门诊楼，大学的教学楼、图书馆、食堂，劳动密集型企业的生产加工车间，寺庙、教堂；</w:t>
            </w:r>
          </w:p>
          <w:p>
            <w:pPr>
              <w:contextualSpacing/>
              <w:rPr>
                <w:rFonts w:ascii="宋体" w:hAnsi="宋体" w:cs="宋体"/>
                <w:color w:val="auto"/>
                <w:sz w:val="18"/>
                <w:szCs w:val="18"/>
              </w:rPr>
            </w:pPr>
            <w:r>
              <w:rPr>
                <w:rFonts w:hint="eastAsia" w:ascii="宋体" w:hAnsi="宋体" w:cs="宋体"/>
                <w:color w:val="auto"/>
                <w:sz w:val="18"/>
                <w:szCs w:val="18"/>
              </w:rPr>
              <w:t>3、建筑总面积1000㎡以上不足5000㎡的托儿所、幼儿园的儿童用房，儿童游乐厅等室内儿童活动场所，养老院、福利院，医院、疗养院的病房楼，中小学的教学楼、图书馆、食堂，学校的集体宿舍，劳动密集型企业的员工集体宿舍；</w:t>
            </w:r>
          </w:p>
          <w:p>
            <w:pPr>
              <w:contextualSpacing/>
              <w:rPr>
                <w:rFonts w:ascii="宋体" w:hAnsi="宋体" w:cs="宋体"/>
                <w:color w:val="auto"/>
                <w:sz w:val="18"/>
                <w:szCs w:val="18"/>
              </w:rPr>
            </w:pPr>
            <w:r>
              <w:rPr>
                <w:rFonts w:hint="eastAsia" w:ascii="宋体" w:hAnsi="宋体" w:cs="宋体"/>
                <w:color w:val="auto"/>
                <w:sz w:val="18"/>
                <w:szCs w:val="18"/>
              </w:rPr>
              <w:t>4、建筑总面积500㎡以上，不足2000㎡的歌舞厅、录像厅、放映厅、卡拉OK厅、夜总会、游艺厅、桑拿浴房、网吧、酒吧，具有娱乐功能的餐馆、茶馆、咖啡厅；</w:t>
            </w:r>
          </w:p>
          <w:p>
            <w:pPr>
              <w:contextualSpacing/>
              <w:rPr>
                <w:rFonts w:ascii="宋体" w:hAnsi="宋体" w:cs="宋体"/>
                <w:color w:val="auto"/>
                <w:sz w:val="18"/>
                <w:szCs w:val="18"/>
              </w:rPr>
            </w:pPr>
            <w:r>
              <w:rPr>
                <w:rFonts w:hint="eastAsia" w:ascii="宋体" w:hAnsi="宋体" w:cs="宋体"/>
                <w:color w:val="auto"/>
                <w:sz w:val="18"/>
                <w:szCs w:val="18"/>
              </w:rPr>
              <w:t>5、建筑总面积不足10000㎡的国家机关办公楼、电力调度楼、电信楼、邮政楼、防灾指挥调度楼、广播电视楼、档案楼；</w:t>
            </w:r>
          </w:p>
          <w:p>
            <w:pPr>
              <w:contextualSpacing/>
              <w:rPr>
                <w:rFonts w:ascii="宋体" w:hAnsi="宋体" w:cs="宋体"/>
                <w:color w:val="auto"/>
                <w:sz w:val="18"/>
                <w:szCs w:val="18"/>
              </w:rPr>
            </w:pPr>
            <w:r>
              <w:rPr>
                <w:rFonts w:hint="eastAsia" w:ascii="宋体" w:hAnsi="宋体" w:cs="宋体"/>
                <w:color w:val="auto"/>
                <w:sz w:val="18"/>
                <w:szCs w:val="18"/>
              </w:rPr>
              <w:t>6、国家标准规定的一类高层住宅建筑且建筑高度不足100米；</w:t>
            </w:r>
          </w:p>
          <w:p>
            <w:pPr>
              <w:contextualSpacing/>
              <w:rPr>
                <w:rFonts w:ascii="宋体" w:hAnsi="宋体" w:cs="宋体"/>
                <w:color w:val="auto"/>
                <w:sz w:val="18"/>
                <w:szCs w:val="18"/>
              </w:rPr>
            </w:pPr>
            <w:r>
              <w:rPr>
                <w:rFonts w:hint="eastAsia" w:ascii="宋体" w:hAnsi="宋体" w:cs="宋体"/>
                <w:color w:val="auto"/>
                <w:sz w:val="18"/>
                <w:szCs w:val="18"/>
              </w:rPr>
              <w:t>7、生产、储存易燃易爆危险物品，液体、气体总储量不足1000m³，固体总储量不足5千千克的工厂、仓库；</w:t>
            </w:r>
          </w:p>
          <w:p>
            <w:pPr>
              <w:ind w:firstLine="360" w:firstLineChars="200"/>
              <w:contextualSpacing/>
              <w:rPr>
                <w:rFonts w:hint="eastAsia" w:ascii="宋体" w:hAnsi="宋体"/>
                <w:color w:val="auto"/>
                <w:sz w:val="18"/>
                <w:szCs w:val="18"/>
              </w:rPr>
            </w:pPr>
            <w:r>
              <w:rPr>
                <w:rFonts w:hint="eastAsia" w:ascii="宋体" w:hAnsi="宋体" w:cs="宋体"/>
                <w:color w:val="auto"/>
                <w:sz w:val="18"/>
                <w:szCs w:val="18"/>
              </w:rPr>
              <w:t>8、加油站、加油加气站，装卸易燃易爆危险物品专用车站、码头。易燃易爆气体和液体的调压站。</w:t>
            </w:r>
          </w:p>
        </w:tc>
        <w:tc>
          <w:tcPr>
            <w:tcW w:w="1556" w:type="dxa"/>
            <w:tcBorders>
              <w:top w:val="single" w:color="auto" w:sz="4" w:space="0"/>
              <w:left w:val="single" w:color="auto" w:sz="4" w:space="0"/>
              <w:bottom w:val="single" w:color="auto" w:sz="4" w:space="0"/>
            </w:tcBorders>
            <w:vAlign w:val="center"/>
          </w:tcPr>
          <w:p>
            <w:pPr>
              <w:ind w:firstLine="360" w:firstLineChars="200"/>
              <w:contextualSpacing/>
              <w:rPr>
                <w:rFonts w:hint="eastAsia" w:ascii="宋体" w:hAnsi="宋体"/>
                <w:color w:val="auto"/>
                <w:sz w:val="18"/>
                <w:szCs w:val="18"/>
              </w:rPr>
            </w:pPr>
            <w:r>
              <w:rPr>
                <w:rFonts w:hint="eastAsia" w:ascii="宋体" w:hAnsi="宋体" w:cs="宋体"/>
                <w:color w:val="auto"/>
                <w:sz w:val="18"/>
                <w:szCs w:val="18"/>
              </w:rPr>
              <w:t>责令停止施工或者使用，并处三万元以上</w:t>
            </w:r>
            <w:r>
              <w:rPr>
                <w:rFonts w:hint="eastAsia" w:ascii="宋体" w:hAnsi="宋体" w:cs="宋体"/>
                <w:color w:val="auto"/>
                <w:sz w:val="18"/>
                <w:szCs w:val="18"/>
                <w:lang w:eastAsia="zh-CN"/>
              </w:rPr>
              <w:t>六</w:t>
            </w:r>
            <w:r>
              <w:rPr>
                <w:rFonts w:hint="eastAsia" w:ascii="宋体" w:hAnsi="宋体" w:cs="宋体"/>
                <w:color w:val="auto"/>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blHeader/>
          <w:jc w:val="center"/>
        </w:trPr>
        <w:tc>
          <w:tcPr>
            <w:tcW w:w="712" w:type="dxa"/>
            <w:vMerge w:val="continue"/>
            <w:tcBorders>
              <w:right w:val="single" w:color="auto" w:sz="4" w:space="0"/>
            </w:tcBorders>
            <w:vAlign w:val="center"/>
          </w:tcPr>
          <w:p>
            <w:pPr>
              <w:widowControl/>
              <w:contextualSpacing/>
              <w:jc w:val="center"/>
              <w:rPr>
                <w:rFonts w:hint="eastAsia" w:ascii="宋体" w:hAnsi="宋体" w:cs="宋体"/>
                <w:b/>
                <w:bCs/>
                <w:color w:val="auto"/>
                <w:kern w:val="0"/>
                <w:szCs w:val="21"/>
              </w:rPr>
            </w:pPr>
          </w:p>
        </w:tc>
        <w:tc>
          <w:tcPr>
            <w:tcW w:w="1115"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215"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500" w:type="dxa"/>
            <w:vMerge w:val="continue"/>
            <w:tcBorders>
              <w:left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780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s="宋体"/>
                <w:color w:val="auto"/>
                <w:sz w:val="18"/>
                <w:szCs w:val="18"/>
              </w:rPr>
            </w:pPr>
            <w:r>
              <w:rPr>
                <w:rFonts w:hint="eastAsia" w:ascii="宋体" w:hAnsi="宋体" w:cs="宋体"/>
                <w:color w:val="auto"/>
                <w:sz w:val="18"/>
                <w:szCs w:val="18"/>
              </w:rPr>
              <w:t>1、建筑总面积30000㎡以上不足50000㎡的宾馆、饭店、商场、市场。</w:t>
            </w:r>
          </w:p>
          <w:p>
            <w:pPr>
              <w:contextualSpacing/>
              <w:rPr>
                <w:color w:val="auto"/>
              </w:rPr>
            </w:pPr>
            <w:r>
              <w:rPr>
                <w:rFonts w:hint="eastAsia" w:ascii="宋体" w:hAnsi="宋体" w:cs="宋体"/>
                <w:color w:val="auto"/>
                <w:sz w:val="18"/>
                <w:szCs w:val="18"/>
              </w:rPr>
              <w:t>2、建筑总面积5000㎡以上不足10000㎡的影剧院、公共图书馆的阅览室，营业性室内健身、休闲场馆、医院的门诊楼，大学的教学楼、图书馆、食堂，劳动密集型企业的生产加工车间，寺庙、教堂；</w:t>
            </w:r>
          </w:p>
          <w:p>
            <w:pPr>
              <w:contextualSpacing/>
              <w:rPr>
                <w:color w:val="auto"/>
              </w:rPr>
            </w:pPr>
            <w:r>
              <w:rPr>
                <w:rFonts w:hint="eastAsia" w:ascii="宋体" w:hAnsi="宋体" w:cs="宋体"/>
                <w:color w:val="auto"/>
                <w:sz w:val="18"/>
                <w:szCs w:val="18"/>
              </w:rPr>
              <w:t>3、建筑总面积5000㎡以上的托儿所、幼儿园的儿童用房，儿童游乐厅等室内儿童活动场所，养老院、福利院，医院、疗养院的病房楼，中小学的教学楼、图书馆、食堂，学校的集体宿舍，劳动密集型企业的员工集体宿舍；</w:t>
            </w:r>
          </w:p>
          <w:p>
            <w:pPr>
              <w:contextualSpacing/>
              <w:rPr>
                <w:color w:val="auto"/>
              </w:rPr>
            </w:pPr>
            <w:r>
              <w:rPr>
                <w:rFonts w:hint="eastAsia" w:ascii="宋体" w:hAnsi="宋体" w:cs="宋体"/>
                <w:color w:val="auto"/>
                <w:sz w:val="18"/>
                <w:szCs w:val="18"/>
              </w:rPr>
              <w:t>4、建筑总面积2000㎡以上不足5000㎡的歌舞厅、录像厅、放映厅、卡拉OK厅、夜总会、游艺厅、桑拿浴房、网吧、酒吧，具有娱乐功能的餐馆、茶馆、咖啡厅；</w:t>
            </w:r>
          </w:p>
          <w:p>
            <w:pPr>
              <w:contextualSpacing/>
              <w:rPr>
                <w:color w:val="auto"/>
              </w:rPr>
            </w:pPr>
            <w:r>
              <w:rPr>
                <w:rFonts w:hint="eastAsia" w:ascii="宋体" w:hAnsi="宋体" w:cs="宋体"/>
                <w:color w:val="auto"/>
                <w:sz w:val="18"/>
                <w:szCs w:val="18"/>
              </w:rPr>
              <w:t>5、建筑总面积10000㎡以上不足30000㎡的国家机关办公楼、电力调度楼、电信楼、邮政楼、防灾指挥调度楼、广播电视楼、档案楼；</w:t>
            </w:r>
          </w:p>
          <w:p>
            <w:pPr>
              <w:contextualSpacing/>
              <w:rPr>
                <w:color w:val="auto"/>
              </w:rPr>
            </w:pPr>
            <w:r>
              <w:rPr>
                <w:rFonts w:hint="eastAsia" w:ascii="宋体" w:hAnsi="宋体" w:cs="宋体"/>
                <w:color w:val="auto"/>
                <w:sz w:val="18"/>
                <w:szCs w:val="18"/>
              </w:rPr>
              <w:t>6、单体建筑面积40000㎡以上不足100000㎡或者建筑高度50米以上不足100米的公共建筑；</w:t>
            </w:r>
          </w:p>
          <w:p>
            <w:pPr>
              <w:contextualSpacing/>
              <w:rPr>
                <w:color w:val="auto"/>
              </w:rPr>
            </w:pPr>
            <w:r>
              <w:rPr>
                <w:rFonts w:hint="eastAsia" w:ascii="宋体" w:hAnsi="宋体" w:cs="宋体"/>
                <w:color w:val="auto"/>
                <w:sz w:val="18"/>
                <w:szCs w:val="18"/>
              </w:rPr>
              <w:t>7、国家标准规定的一类高层住宅建筑且建筑高度100米以上；</w:t>
            </w:r>
          </w:p>
          <w:p>
            <w:pPr>
              <w:ind w:firstLine="360" w:firstLineChars="200"/>
              <w:contextualSpacing/>
              <w:rPr>
                <w:rFonts w:hint="eastAsia" w:ascii="宋体" w:hAnsi="宋体"/>
                <w:color w:val="auto"/>
                <w:sz w:val="18"/>
                <w:szCs w:val="18"/>
              </w:rPr>
            </w:pPr>
            <w:r>
              <w:rPr>
                <w:rFonts w:hint="eastAsia" w:ascii="宋体" w:hAnsi="宋体" w:cs="宋体"/>
                <w:color w:val="auto"/>
                <w:sz w:val="18"/>
                <w:szCs w:val="18"/>
              </w:rPr>
              <w:t>8、生产、储存易燃易爆危险物品，液体、气体总储量1000m³以上，不足3000m³，固体总储量5000千克以上，不足10千千克的工厂、仓库，以及除加油加气站以外的易燃易爆气体和液体的充装站、供应站；</w:t>
            </w:r>
          </w:p>
        </w:tc>
        <w:tc>
          <w:tcPr>
            <w:tcW w:w="1556" w:type="dxa"/>
            <w:tcBorders>
              <w:top w:val="single" w:color="auto" w:sz="4" w:space="0"/>
              <w:left w:val="single" w:color="auto" w:sz="4" w:space="0"/>
              <w:bottom w:val="single" w:color="auto" w:sz="4" w:space="0"/>
            </w:tcBorders>
            <w:vAlign w:val="center"/>
          </w:tcPr>
          <w:p>
            <w:pPr>
              <w:ind w:firstLine="360" w:firstLineChars="200"/>
              <w:contextualSpacing/>
              <w:rPr>
                <w:rFonts w:hint="eastAsia" w:ascii="宋体" w:hAnsi="宋体"/>
                <w:color w:val="auto"/>
                <w:sz w:val="18"/>
                <w:szCs w:val="18"/>
              </w:rPr>
            </w:pPr>
            <w:r>
              <w:rPr>
                <w:rFonts w:hint="eastAsia" w:ascii="宋体" w:hAnsi="宋体" w:cs="宋体"/>
                <w:color w:val="auto"/>
                <w:sz w:val="18"/>
                <w:szCs w:val="18"/>
              </w:rPr>
              <w:t>责令停止施工或者停止使用，并处</w:t>
            </w:r>
            <w:r>
              <w:rPr>
                <w:rFonts w:hint="eastAsia" w:ascii="宋体" w:hAnsi="宋体" w:cs="宋体"/>
                <w:color w:val="auto"/>
                <w:sz w:val="18"/>
                <w:szCs w:val="18"/>
                <w:lang w:eastAsia="zh-CN"/>
              </w:rPr>
              <w:t>六</w:t>
            </w:r>
            <w:r>
              <w:rPr>
                <w:rFonts w:hint="eastAsia" w:ascii="宋体" w:hAnsi="宋体" w:cs="宋体"/>
                <w:color w:val="auto"/>
                <w:sz w:val="18"/>
                <w:szCs w:val="18"/>
              </w:rPr>
              <w:t>万元以上十</w:t>
            </w:r>
            <w:r>
              <w:rPr>
                <w:rFonts w:hint="eastAsia" w:ascii="宋体" w:hAnsi="宋体" w:cs="宋体"/>
                <w:color w:val="auto"/>
                <w:sz w:val="18"/>
                <w:szCs w:val="18"/>
                <w:lang w:eastAsia="zh-CN"/>
              </w:rPr>
              <w:t>五</w:t>
            </w:r>
            <w:r>
              <w:rPr>
                <w:rFonts w:hint="eastAsia" w:ascii="宋体" w:hAnsi="宋体" w:cs="宋体"/>
                <w:color w:val="auto"/>
                <w:sz w:val="18"/>
                <w:szCs w:val="18"/>
              </w:rPr>
              <w:t>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tblHeader/>
          <w:jc w:val="center"/>
        </w:trPr>
        <w:tc>
          <w:tcPr>
            <w:tcW w:w="712" w:type="dxa"/>
            <w:vMerge w:val="continue"/>
            <w:tcBorders>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Cs w:val="21"/>
              </w:rPr>
            </w:pPr>
          </w:p>
        </w:tc>
        <w:tc>
          <w:tcPr>
            <w:tcW w:w="1115"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215"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1500" w:type="dxa"/>
            <w:vMerge w:val="continue"/>
            <w:tcBorders>
              <w:left w:val="single" w:color="auto" w:sz="4" w:space="0"/>
              <w:bottom w:val="single" w:color="auto" w:sz="4" w:space="0"/>
              <w:right w:val="single" w:color="auto" w:sz="4" w:space="0"/>
            </w:tcBorders>
            <w:vAlign w:val="center"/>
          </w:tcPr>
          <w:p>
            <w:pPr>
              <w:widowControl/>
              <w:contextualSpacing/>
              <w:jc w:val="center"/>
              <w:rPr>
                <w:rFonts w:hint="eastAsia" w:ascii="宋体" w:hAnsi="宋体" w:cs="宋体"/>
                <w:b/>
                <w:bCs/>
                <w:color w:val="auto"/>
                <w:kern w:val="0"/>
                <w:sz w:val="18"/>
                <w:szCs w:val="18"/>
              </w:rPr>
            </w:pPr>
          </w:p>
        </w:tc>
        <w:tc>
          <w:tcPr>
            <w:tcW w:w="7800" w:type="dxa"/>
            <w:tcBorders>
              <w:top w:val="single" w:color="auto" w:sz="4" w:space="0"/>
              <w:left w:val="single" w:color="auto" w:sz="4" w:space="0"/>
              <w:bottom w:val="single" w:color="auto" w:sz="4" w:space="0"/>
              <w:right w:val="single" w:color="auto" w:sz="4" w:space="0"/>
            </w:tcBorders>
            <w:vAlign w:val="center"/>
          </w:tcPr>
          <w:p>
            <w:pPr>
              <w:contextualSpacing/>
              <w:rPr>
                <w:rFonts w:hint="eastAsia" w:ascii="宋体" w:hAnsi="宋体" w:cs="宋体"/>
                <w:color w:val="auto"/>
                <w:sz w:val="18"/>
                <w:szCs w:val="18"/>
              </w:rPr>
            </w:pPr>
            <w:r>
              <w:rPr>
                <w:rFonts w:hint="eastAsia" w:ascii="宋体" w:hAnsi="宋体" w:cs="宋体"/>
                <w:color w:val="auto"/>
                <w:sz w:val="18"/>
                <w:szCs w:val="18"/>
              </w:rPr>
              <w:t>1、建筑总面积20000㎡以上的体育场馆、会堂，公共展览馆、博物馆的展示厅；</w:t>
            </w:r>
          </w:p>
          <w:p>
            <w:pPr>
              <w:contextualSpacing/>
              <w:rPr>
                <w:color w:val="auto"/>
              </w:rPr>
            </w:pPr>
            <w:r>
              <w:rPr>
                <w:rFonts w:hint="eastAsia" w:ascii="宋体" w:hAnsi="宋体" w:cs="宋体"/>
                <w:color w:val="auto"/>
                <w:sz w:val="18"/>
                <w:szCs w:val="18"/>
              </w:rPr>
              <w:t>2、建筑总面积15000㎡以上</w:t>
            </w:r>
            <w:bookmarkStart w:id="0" w:name="_GoBack"/>
            <w:bookmarkEnd w:id="0"/>
            <w:r>
              <w:rPr>
                <w:rFonts w:hint="eastAsia" w:ascii="宋体" w:hAnsi="宋体" w:cs="宋体"/>
                <w:color w:val="auto"/>
                <w:sz w:val="18"/>
                <w:szCs w:val="18"/>
              </w:rPr>
              <w:t>的民用机场航站楼、客运车站候车室、客运码头候船厅；</w:t>
            </w:r>
          </w:p>
          <w:p>
            <w:pPr>
              <w:contextualSpacing/>
              <w:rPr>
                <w:color w:val="auto"/>
              </w:rPr>
            </w:pPr>
            <w:r>
              <w:rPr>
                <w:rFonts w:hint="eastAsia" w:ascii="宋体" w:hAnsi="宋体" w:cs="宋体"/>
                <w:color w:val="auto"/>
                <w:sz w:val="18"/>
                <w:szCs w:val="18"/>
              </w:rPr>
              <w:t>3、建筑总面积50000㎡以上的宾馆、饭店、商场、市场；</w:t>
            </w:r>
          </w:p>
          <w:p>
            <w:pPr>
              <w:contextualSpacing/>
              <w:rPr>
                <w:color w:val="auto"/>
              </w:rPr>
            </w:pPr>
            <w:r>
              <w:rPr>
                <w:rFonts w:hint="eastAsia" w:ascii="宋体" w:hAnsi="宋体" w:cs="宋体"/>
                <w:color w:val="auto"/>
                <w:sz w:val="18"/>
                <w:szCs w:val="18"/>
              </w:rPr>
              <w:t>4、建筑总面积10000㎡以上影剧院，公共图书馆的阅览室，营业性室内健身、休闲场馆，医院的门诊楼，大学的教学楼、图书馆、食堂，劳动密集型企业的生产加工车间，寺庙、教堂；</w:t>
            </w:r>
          </w:p>
          <w:p>
            <w:pPr>
              <w:contextualSpacing/>
              <w:rPr>
                <w:color w:val="auto"/>
              </w:rPr>
            </w:pPr>
            <w:r>
              <w:rPr>
                <w:rFonts w:hint="eastAsia" w:ascii="宋体" w:hAnsi="宋体" w:cs="宋体"/>
                <w:color w:val="auto"/>
                <w:sz w:val="18"/>
                <w:szCs w:val="18"/>
              </w:rPr>
              <w:t>5、建筑总面积5000㎡以上的歌舞厅、录像厅、放映厅、卡拉OK厅、夜总会、游艺厅、桑拿浴房、网吧、酒吧，具有娱乐功能的餐馆、茶馆、咖啡厅；</w:t>
            </w:r>
          </w:p>
          <w:p>
            <w:pPr>
              <w:contextualSpacing/>
              <w:rPr>
                <w:color w:val="auto"/>
              </w:rPr>
            </w:pPr>
            <w:r>
              <w:rPr>
                <w:rFonts w:hint="eastAsia" w:ascii="宋体" w:hAnsi="宋体" w:cs="宋体"/>
                <w:color w:val="auto"/>
                <w:sz w:val="18"/>
                <w:szCs w:val="18"/>
              </w:rPr>
              <w:t>6、建筑总面积30000㎡以上的国家机关办公楼、电力调度楼、电信楼、邮政楼、防灾指挥调度楼、广播电视楼、档案楼；</w:t>
            </w:r>
          </w:p>
          <w:p>
            <w:pPr>
              <w:contextualSpacing/>
              <w:rPr>
                <w:color w:val="auto"/>
              </w:rPr>
            </w:pPr>
            <w:r>
              <w:rPr>
                <w:rFonts w:hint="eastAsia" w:ascii="宋体" w:hAnsi="宋体" w:cs="宋体"/>
                <w:color w:val="auto"/>
                <w:sz w:val="18"/>
                <w:szCs w:val="18"/>
              </w:rPr>
              <w:t>7、单体建筑面积100000㎡以上或者建筑高度100米以上的公共建筑；</w:t>
            </w:r>
          </w:p>
          <w:p>
            <w:pPr>
              <w:contextualSpacing/>
              <w:rPr>
                <w:color w:val="auto"/>
              </w:rPr>
            </w:pPr>
            <w:r>
              <w:rPr>
                <w:rFonts w:hint="eastAsia" w:ascii="宋体" w:hAnsi="宋体" w:cs="宋体"/>
                <w:color w:val="auto"/>
                <w:sz w:val="18"/>
                <w:szCs w:val="18"/>
              </w:rPr>
              <w:t>8、城市轨道交通、隧道工程，大型发电、变配电工程；</w:t>
            </w:r>
          </w:p>
          <w:p>
            <w:pPr>
              <w:contextualSpacing/>
              <w:rPr>
                <w:rFonts w:hint="eastAsia" w:ascii="宋体" w:hAnsi="宋体"/>
                <w:color w:val="auto"/>
                <w:sz w:val="18"/>
                <w:szCs w:val="18"/>
              </w:rPr>
            </w:pPr>
            <w:r>
              <w:rPr>
                <w:rFonts w:hint="eastAsia" w:ascii="宋体" w:hAnsi="宋体" w:cs="宋体"/>
                <w:color w:val="auto"/>
                <w:sz w:val="18"/>
                <w:szCs w:val="18"/>
              </w:rPr>
              <w:t>9、生产、储存易燃易爆危险物品，液体、气体总储量3000m³以上，固体总储量10千千克以上的工厂、仓库；</w:t>
            </w:r>
          </w:p>
        </w:tc>
        <w:tc>
          <w:tcPr>
            <w:tcW w:w="1556" w:type="dxa"/>
            <w:tcBorders>
              <w:top w:val="single" w:color="auto" w:sz="4" w:space="0"/>
              <w:left w:val="single" w:color="auto" w:sz="4" w:space="0"/>
              <w:bottom w:val="single" w:color="auto" w:sz="4" w:space="0"/>
            </w:tcBorders>
            <w:vAlign w:val="center"/>
          </w:tcPr>
          <w:p>
            <w:pPr>
              <w:ind w:firstLine="360" w:firstLineChars="200"/>
              <w:contextualSpacing/>
              <w:rPr>
                <w:rFonts w:hint="eastAsia" w:ascii="宋体" w:hAnsi="宋体"/>
                <w:color w:val="auto"/>
                <w:sz w:val="18"/>
                <w:szCs w:val="18"/>
              </w:rPr>
            </w:pPr>
            <w:r>
              <w:rPr>
                <w:rFonts w:hint="eastAsia" w:ascii="宋体" w:hAnsi="宋体" w:cs="宋体"/>
                <w:color w:val="auto"/>
                <w:sz w:val="18"/>
                <w:szCs w:val="18"/>
              </w:rPr>
              <w:t>责令停止施工或者停止使用，并处十</w:t>
            </w:r>
            <w:r>
              <w:rPr>
                <w:rFonts w:hint="eastAsia" w:ascii="宋体" w:hAnsi="宋体" w:cs="宋体"/>
                <w:color w:val="auto"/>
                <w:sz w:val="18"/>
                <w:szCs w:val="18"/>
                <w:lang w:eastAsia="zh-CN"/>
              </w:rPr>
              <w:t>五</w:t>
            </w:r>
            <w:r>
              <w:rPr>
                <w:rFonts w:hint="eastAsia" w:ascii="宋体" w:hAnsi="宋体" w:cs="宋体"/>
                <w:color w:val="auto"/>
                <w:sz w:val="18"/>
                <w:szCs w:val="18"/>
              </w:rPr>
              <w:t>万元以上三十万元以下罚款</w:t>
            </w:r>
          </w:p>
        </w:tc>
      </w:tr>
    </w:tbl>
    <w:p>
      <w:pPr>
        <w:contextualSpacing/>
        <w:rPr>
          <w:rFonts w:hint="eastAsia"/>
          <w:color w:val="auto"/>
        </w:rPr>
      </w:pPr>
    </w:p>
    <w:p>
      <w:pPr>
        <w:contextualSpacing/>
        <w:rPr>
          <w:rFonts w:hint="eastAsia"/>
          <w:color w:val="auto"/>
        </w:rPr>
      </w:pPr>
    </w:p>
    <w:tbl>
      <w:tblPr>
        <w:tblStyle w:val="4"/>
        <w:tblpPr w:leftFromText="180" w:rightFromText="180" w:vertAnchor="page" w:horzAnchor="margin" w:tblpXSpec="center" w:tblpY="217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329"/>
        <w:gridCol w:w="1330"/>
        <w:gridCol w:w="2358"/>
        <w:gridCol w:w="3350"/>
        <w:gridCol w:w="4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jc w:val="center"/>
        </w:trPr>
        <w:tc>
          <w:tcPr>
            <w:tcW w:w="712" w:type="dxa"/>
            <w:tcBorders>
              <w:top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序号</w:t>
            </w:r>
          </w:p>
        </w:tc>
        <w:tc>
          <w:tcPr>
            <w:tcW w:w="1329" w:type="dxa"/>
            <w:tcBorders>
              <w:top w:val="single" w:color="auto" w:sz="4" w:space="0"/>
              <w:left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违法行为</w:t>
            </w:r>
          </w:p>
        </w:tc>
        <w:tc>
          <w:tcPr>
            <w:tcW w:w="1330" w:type="dxa"/>
            <w:tcBorders>
              <w:top w:val="single" w:color="auto" w:sz="4" w:space="0"/>
              <w:left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法律依据</w:t>
            </w:r>
          </w:p>
        </w:tc>
        <w:tc>
          <w:tcPr>
            <w:tcW w:w="2358" w:type="dxa"/>
            <w:tcBorders>
              <w:top w:val="single" w:color="auto" w:sz="4" w:space="0"/>
              <w:left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法定处罚标准</w:t>
            </w:r>
          </w:p>
        </w:tc>
        <w:tc>
          <w:tcPr>
            <w:tcW w:w="3350" w:type="dxa"/>
            <w:tcBorders>
              <w:top w:val="single" w:color="auto" w:sz="4" w:space="0"/>
              <w:left w:val="single" w:color="auto" w:sz="4" w:space="0"/>
              <w:righ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自由裁量情形</w:t>
            </w:r>
          </w:p>
        </w:tc>
        <w:tc>
          <w:tcPr>
            <w:tcW w:w="4833" w:type="dxa"/>
            <w:tcBorders>
              <w:top w:val="single" w:color="auto" w:sz="4" w:space="0"/>
              <w:left w:val="single" w:color="auto" w:sz="4" w:space="0"/>
            </w:tcBorders>
            <w:vAlign w:val="center"/>
          </w:tcPr>
          <w:p>
            <w:pPr>
              <w:widowControl/>
              <w:contextualSpacing/>
              <w:jc w:val="center"/>
              <w:rPr>
                <w:rFonts w:hint="eastAsia" w:ascii="黑体" w:hAnsi="宋体" w:eastAsia="黑体" w:cs="宋体"/>
                <w:bCs/>
                <w:color w:val="auto"/>
                <w:kern w:val="0"/>
                <w:szCs w:val="21"/>
              </w:rPr>
            </w:pPr>
            <w:r>
              <w:rPr>
                <w:rFonts w:hint="eastAsia" w:ascii="黑体" w:hAnsi="宋体" w:eastAsia="黑体" w:cs="宋体"/>
                <w:bCs/>
                <w:color w:val="auto"/>
                <w:kern w:val="0"/>
                <w:szCs w:val="21"/>
              </w:rPr>
              <w:t>自由裁量细化标准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7" w:hRule="atLeast"/>
          <w:jc w:val="center"/>
        </w:trPr>
        <w:tc>
          <w:tcPr>
            <w:tcW w:w="712" w:type="dxa"/>
            <w:vMerge w:val="restart"/>
            <w:vAlign w:val="center"/>
          </w:tcPr>
          <w:p>
            <w:pPr>
              <w:widowControl/>
              <w:contextualSpacing/>
              <w:jc w:val="center"/>
              <w:rPr>
                <w:rFonts w:hint="eastAsia" w:ascii="宋体" w:hAnsi="宋体" w:eastAsia="宋体" w:cs="宋体"/>
                <w:bCs/>
                <w:color w:val="auto"/>
                <w:kern w:val="0"/>
                <w:sz w:val="18"/>
                <w:szCs w:val="18"/>
                <w:lang w:eastAsia="zh-CN"/>
              </w:rPr>
            </w:pPr>
            <w:r>
              <w:rPr>
                <w:rFonts w:hint="eastAsia" w:ascii="宋体" w:hAnsi="宋体" w:cs="宋体"/>
                <w:bCs/>
                <w:color w:val="auto"/>
                <w:kern w:val="0"/>
                <w:sz w:val="18"/>
                <w:szCs w:val="18"/>
                <w:lang w:val="en-US" w:eastAsia="zh-CN"/>
              </w:rPr>
              <w:t>8</w:t>
            </w:r>
          </w:p>
        </w:tc>
        <w:tc>
          <w:tcPr>
            <w:tcW w:w="1329" w:type="dxa"/>
            <w:vMerge w:val="restart"/>
            <w:vAlign w:val="center"/>
          </w:tcPr>
          <w:p>
            <w:pPr>
              <w:contextualSpacing/>
              <w:jc w:val="center"/>
              <w:rPr>
                <w:rFonts w:hint="eastAsia" w:ascii="宋体" w:hAnsi="宋体" w:cs="宋体"/>
                <w:color w:val="auto"/>
                <w:kern w:val="0"/>
                <w:sz w:val="18"/>
                <w:szCs w:val="18"/>
              </w:rPr>
            </w:pPr>
            <w:r>
              <w:rPr>
                <w:rFonts w:hint="eastAsia" w:ascii="宋体" w:hAnsi="宋体" w:cs="宋体"/>
                <w:color w:val="auto"/>
                <w:kern w:val="0"/>
                <w:sz w:val="18"/>
                <w:szCs w:val="18"/>
                <w:shd w:val="clear" w:color="090000" w:fill="FFFFFF"/>
              </w:rPr>
              <w:t>建筑设计单位不按照消防技术标准强制性要求进行消防设计的；</w:t>
            </w:r>
          </w:p>
        </w:tc>
        <w:tc>
          <w:tcPr>
            <w:tcW w:w="1330" w:type="dxa"/>
            <w:vMerge w:val="restart"/>
            <w:vAlign w:val="center"/>
          </w:tcPr>
          <w:p>
            <w:pPr>
              <w:contextualSpacing/>
              <w:jc w:val="center"/>
              <w:rPr>
                <w:rFonts w:hint="eastAsia" w:ascii="宋体" w:hAnsi="宋体" w:cs="宋体"/>
                <w:color w:val="auto"/>
                <w:kern w:val="0"/>
                <w:sz w:val="18"/>
                <w:szCs w:val="18"/>
              </w:rPr>
            </w:pPr>
            <w:r>
              <w:rPr>
                <w:rFonts w:hint="eastAsia" w:ascii="宋体" w:hAnsi="宋体" w:cs="宋体"/>
                <w:color w:val="auto"/>
                <w:sz w:val="18"/>
                <w:szCs w:val="18"/>
              </w:rPr>
              <w:t>《中华人民共和国消防法》第59条，第2项。</w:t>
            </w:r>
          </w:p>
        </w:tc>
        <w:tc>
          <w:tcPr>
            <w:tcW w:w="2358" w:type="dxa"/>
            <w:vMerge w:val="restart"/>
          </w:tcPr>
          <w:p>
            <w:pPr>
              <w:shd w:val="solid" w:color="FFFFFF" w:fill="auto"/>
              <w:autoSpaceDN w:val="0"/>
              <w:spacing w:after="225"/>
              <w:ind w:firstLine="420"/>
              <w:contextualSpacing/>
              <w:jc w:val="center"/>
              <w:rPr>
                <w:rFonts w:hint="eastAsia" w:ascii="宋体" w:hAnsi="宋体" w:cs="宋体"/>
                <w:color w:val="auto"/>
                <w:kern w:val="0"/>
                <w:sz w:val="18"/>
                <w:szCs w:val="18"/>
              </w:rPr>
            </w:pPr>
            <w:r>
              <w:rPr>
                <w:rFonts w:hint="eastAsia" w:ascii="宋体" w:hAnsi="宋体" w:cs="宋体"/>
                <w:color w:val="auto"/>
                <w:kern w:val="0"/>
                <w:sz w:val="18"/>
                <w:szCs w:val="18"/>
                <w:shd w:val="clear" w:color="0A0000" w:fill="FFFFFF"/>
              </w:rPr>
              <w:t>责令改正或者停</w:t>
            </w:r>
            <w:r>
              <w:rPr>
                <w:rFonts w:hint="eastAsia" w:ascii="宋体" w:hAnsi="宋体" w:cs="宋体"/>
                <w:color w:val="auto"/>
                <w:sz w:val="18"/>
                <w:szCs w:val="18"/>
              </w:rPr>
              <w:t>止施工，并处一万元以上十万元以</w:t>
            </w:r>
            <w:r>
              <w:rPr>
                <w:rFonts w:hint="eastAsia" w:ascii="宋体" w:hAnsi="宋体" w:cs="宋体"/>
                <w:color w:val="auto"/>
                <w:kern w:val="0"/>
                <w:sz w:val="18"/>
                <w:szCs w:val="18"/>
                <w:shd w:val="clear" w:color="0A0000" w:fill="FFFFFF"/>
              </w:rPr>
              <w:t xml:space="preserve">下罚款： </w:t>
            </w:r>
          </w:p>
        </w:tc>
        <w:tc>
          <w:tcPr>
            <w:tcW w:w="3350" w:type="dxa"/>
            <w:vAlign w:val="center"/>
          </w:tcPr>
          <w:p>
            <w:pPr>
              <w:contextualSpacing/>
              <w:rPr>
                <w:rFonts w:hint="eastAsia" w:ascii="宋体" w:hAnsi="宋体" w:cs="宋体"/>
                <w:color w:val="auto"/>
                <w:kern w:val="0"/>
                <w:sz w:val="18"/>
                <w:szCs w:val="18"/>
              </w:rPr>
            </w:pPr>
            <w:r>
              <w:rPr>
                <w:rFonts w:hint="eastAsia" w:ascii="宋体" w:hAnsi="宋体" w:cs="宋体"/>
                <w:color w:val="auto"/>
                <w:sz w:val="18"/>
                <w:szCs w:val="18"/>
              </w:rPr>
              <w:t>1、违反消防技术标准强制性要求3条以下的；</w:t>
            </w:r>
          </w:p>
        </w:tc>
        <w:tc>
          <w:tcPr>
            <w:tcW w:w="4833" w:type="dxa"/>
          </w:tcPr>
          <w:p>
            <w:pPr>
              <w:contextualSpacing/>
              <w:rPr>
                <w:rFonts w:hint="eastAsia"/>
                <w:color w:val="auto"/>
                <w:sz w:val="18"/>
                <w:szCs w:val="18"/>
              </w:rPr>
            </w:pPr>
            <w:r>
              <w:rPr>
                <w:rFonts w:hint="eastAsia"/>
                <w:color w:val="auto"/>
                <w:sz w:val="18"/>
                <w:szCs w:val="18"/>
              </w:rPr>
              <w:t>责令改正或者停止施工，并处1万元以上3万元以下罚款。</w:t>
            </w:r>
          </w:p>
          <w:p>
            <w:pPr>
              <w:contextualSpacing/>
              <w:rPr>
                <w:rFonts w:hint="eastAsia"/>
                <w:color w:val="auto"/>
                <w:sz w:val="18"/>
                <w:szCs w:val="18"/>
              </w:rPr>
            </w:pPr>
          </w:p>
          <w:p>
            <w:pPr>
              <w:contextualSpacing/>
              <w:rPr>
                <w:rFonts w:hint="eastAsia" w:ascii="宋体" w:hAns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12" w:type="dxa"/>
            <w:vMerge w:val="continue"/>
            <w:vAlign w:val="center"/>
          </w:tcPr>
          <w:p>
            <w:pPr>
              <w:widowControl/>
              <w:contextualSpacing/>
              <w:jc w:val="left"/>
              <w:rPr>
                <w:rFonts w:hint="eastAsia" w:ascii="宋体" w:hAnsi="宋体" w:cs="宋体"/>
                <w:b/>
                <w:bCs/>
                <w:color w:val="auto"/>
                <w:kern w:val="0"/>
                <w:sz w:val="18"/>
                <w:szCs w:val="18"/>
              </w:rPr>
            </w:pPr>
          </w:p>
        </w:tc>
        <w:tc>
          <w:tcPr>
            <w:tcW w:w="1329" w:type="dxa"/>
            <w:vMerge w:val="continue"/>
            <w:vAlign w:val="center"/>
          </w:tcPr>
          <w:p>
            <w:pPr>
              <w:widowControl/>
              <w:contextualSpacing/>
              <w:jc w:val="left"/>
              <w:rPr>
                <w:rFonts w:hint="eastAsia" w:ascii="宋体" w:hAnsi="宋体" w:cs="宋体"/>
                <w:color w:val="auto"/>
                <w:kern w:val="0"/>
                <w:sz w:val="18"/>
                <w:szCs w:val="18"/>
              </w:rPr>
            </w:pPr>
          </w:p>
        </w:tc>
        <w:tc>
          <w:tcPr>
            <w:tcW w:w="1330" w:type="dxa"/>
            <w:vMerge w:val="continue"/>
            <w:vAlign w:val="center"/>
          </w:tcPr>
          <w:p>
            <w:pPr>
              <w:widowControl/>
              <w:contextualSpacing/>
              <w:jc w:val="left"/>
              <w:rPr>
                <w:rFonts w:hint="eastAsia" w:ascii="宋体" w:hAnsi="宋体" w:cs="宋体"/>
                <w:color w:val="auto"/>
                <w:kern w:val="0"/>
                <w:sz w:val="18"/>
                <w:szCs w:val="18"/>
              </w:rPr>
            </w:pPr>
          </w:p>
        </w:tc>
        <w:tc>
          <w:tcPr>
            <w:tcW w:w="2358" w:type="dxa"/>
            <w:vMerge w:val="continue"/>
            <w:vAlign w:val="center"/>
          </w:tcPr>
          <w:p>
            <w:pPr>
              <w:widowControl/>
              <w:contextualSpacing/>
              <w:jc w:val="left"/>
              <w:rPr>
                <w:rFonts w:hint="eastAsia" w:ascii="宋体" w:hAnsi="宋体" w:cs="宋体"/>
                <w:color w:val="auto"/>
                <w:kern w:val="0"/>
                <w:sz w:val="18"/>
                <w:szCs w:val="18"/>
              </w:rPr>
            </w:pPr>
          </w:p>
        </w:tc>
        <w:tc>
          <w:tcPr>
            <w:tcW w:w="3350" w:type="dxa"/>
            <w:vAlign w:val="center"/>
          </w:tcPr>
          <w:p>
            <w:pPr>
              <w:contextualSpacing/>
              <w:rPr>
                <w:rFonts w:hint="eastAsia" w:ascii="宋体" w:hAnsi="宋体" w:cs="宋体"/>
                <w:color w:val="auto"/>
                <w:kern w:val="0"/>
                <w:sz w:val="18"/>
                <w:szCs w:val="18"/>
              </w:rPr>
            </w:pPr>
            <w:r>
              <w:rPr>
                <w:rFonts w:hint="eastAsia" w:ascii="宋体" w:hAnsi="宋体" w:cs="宋体"/>
                <w:color w:val="auto"/>
                <w:sz w:val="18"/>
                <w:szCs w:val="18"/>
              </w:rPr>
              <w:t>2、违反消防技术标准强制性要求3条以上7条以下的；</w:t>
            </w:r>
          </w:p>
        </w:tc>
        <w:tc>
          <w:tcPr>
            <w:tcW w:w="4833" w:type="dxa"/>
            <w:vAlign w:val="center"/>
          </w:tcPr>
          <w:p>
            <w:pPr>
              <w:contextualSpacing/>
              <w:rPr>
                <w:rFonts w:hint="eastAsia" w:ascii="宋体" w:hAnsi="宋体" w:cs="宋体"/>
                <w:color w:val="auto"/>
                <w:kern w:val="0"/>
                <w:sz w:val="18"/>
                <w:szCs w:val="18"/>
              </w:rPr>
            </w:pPr>
            <w:r>
              <w:rPr>
                <w:rFonts w:hint="eastAsia" w:ascii="宋体" w:hAnsi="宋体" w:cs="宋体"/>
                <w:color w:val="auto"/>
                <w:sz w:val="18"/>
                <w:szCs w:val="18"/>
              </w:rPr>
              <w:t>责令改正或者停止施工，并处三万元以上七万元以下罚款。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712" w:type="dxa"/>
            <w:vMerge w:val="continue"/>
            <w:vAlign w:val="center"/>
          </w:tcPr>
          <w:p>
            <w:pPr>
              <w:widowControl/>
              <w:contextualSpacing/>
              <w:jc w:val="left"/>
              <w:rPr>
                <w:rFonts w:hint="eastAsia" w:ascii="宋体" w:hAnsi="宋体" w:cs="宋体"/>
                <w:b/>
                <w:bCs/>
                <w:color w:val="auto"/>
                <w:kern w:val="0"/>
                <w:sz w:val="18"/>
                <w:szCs w:val="18"/>
              </w:rPr>
            </w:pPr>
          </w:p>
        </w:tc>
        <w:tc>
          <w:tcPr>
            <w:tcW w:w="1329" w:type="dxa"/>
            <w:vMerge w:val="continue"/>
            <w:vAlign w:val="center"/>
          </w:tcPr>
          <w:p>
            <w:pPr>
              <w:widowControl/>
              <w:contextualSpacing/>
              <w:jc w:val="left"/>
              <w:rPr>
                <w:rFonts w:hint="eastAsia" w:ascii="宋体" w:hAnsi="宋体" w:cs="宋体"/>
                <w:color w:val="auto"/>
                <w:kern w:val="0"/>
                <w:sz w:val="18"/>
                <w:szCs w:val="18"/>
              </w:rPr>
            </w:pPr>
          </w:p>
        </w:tc>
        <w:tc>
          <w:tcPr>
            <w:tcW w:w="1330" w:type="dxa"/>
            <w:vMerge w:val="continue"/>
            <w:vAlign w:val="center"/>
          </w:tcPr>
          <w:p>
            <w:pPr>
              <w:widowControl/>
              <w:contextualSpacing/>
              <w:jc w:val="left"/>
              <w:rPr>
                <w:rFonts w:hint="eastAsia" w:ascii="宋体" w:hAnsi="宋体" w:cs="宋体"/>
                <w:color w:val="auto"/>
                <w:kern w:val="0"/>
                <w:sz w:val="18"/>
                <w:szCs w:val="18"/>
              </w:rPr>
            </w:pPr>
          </w:p>
        </w:tc>
        <w:tc>
          <w:tcPr>
            <w:tcW w:w="2358" w:type="dxa"/>
            <w:vMerge w:val="continue"/>
            <w:vAlign w:val="center"/>
          </w:tcPr>
          <w:p>
            <w:pPr>
              <w:widowControl/>
              <w:contextualSpacing/>
              <w:jc w:val="left"/>
              <w:rPr>
                <w:rFonts w:hint="eastAsia" w:ascii="宋体" w:hAnsi="宋体" w:cs="宋体"/>
                <w:color w:val="auto"/>
                <w:kern w:val="0"/>
                <w:sz w:val="18"/>
                <w:szCs w:val="18"/>
              </w:rPr>
            </w:pPr>
          </w:p>
        </w:tc>
        <w:tc>
          <w:tcPr>
            <w:tcW w:w="3350" w:type="dxa"/>
            <w:vAlign w:val="center"/>
          </w:tcPr>
          <w:p>
            <w:pPr>
              <w:contextualSpacing/>
              <w:rPr>
                <w:rFonts w:hint="eastAsia" w:ascii="宋体" w:hAnsi="宋体" w:cs="宋体"/>
                <w:color w:val="auto"/>
                <w:kern w:val="0"/>
                <w:sz w:val="18"/>
                <w:szCs w:val="18"/>
              </w:rPr>
            </w:pPr>
            <w:r>
              <w:rPr>
                <w:rFonts w:hint="eastAsia" w:ascii="宋体" w:hAnsi="宋体" w:cs="宋体"/>
                <w:color w:val="auto"/>
                <w:sz w:val="18"/>
                <w:szCs w:val="18"/>
              </w:rPr>
              <w:t>3、违反消防技术标准强制性要求7条以上的；</w:t>
            </w:r>
          </w:p>
        </w:tc>
        <w:tc>
          <w:tcPr>
            <w:tcW w:w="4833" w:type="dxa"/>
            <w:vAlign w:val="center"/>
          </w:tcPr>
          <w:p>
            <w:pPr>
              <w:contextualSpacing/>
              <w:rPr>
                <w:rFonts w:hint="eastAsia" w:ascii="宋体" w:hAnsi="宋体" w:cs="宋体"/>
                <w:color w:val="auto"/>
                <w:kern w:val="0"/>
                <w:sz w:val="18"/>
                <w:szCs w:val="18"/>
              </w:rPr>
            </w:pPr>
            <w:r>
              <w:rPr>
                <w:rFonts w:hint="eastAsia" w:ascii="宋体" w:hAnsi="宋体" w:cs="宋体"/>
                <w:color w:val="auto"/>
                <w:sz w:val="18"/>
                <w:szCs w:val="18"/>
              </w:rPr>
              <w:t>责令改正或者停止施工，并处七万元以上十万元以下罚款。</w:t>
            </w:r>
          </w:p>
        </w:tc>
      </w:tr>
    </w:tbl>
    <w:p>
      <w:pPr>
        <w:contextualSpacing/>
        <w:rPr>
          <w:rFonts w:hint="eastAsia"/>
          <w:color w:val="auto"/>
        </w:rPr>
      </w:pPr>
    </w:p>
    <w:p>
      <w:pPr>
        <w:contextualSpacing/>
        <w:rPr>
          <w:rFonts w:hint="eastAsia"/>
          <w:color w:val="auto"/>
        </w:rPr>
      </w:pPr>
    </w:p>
    <w:sectPr>
      <w:headerReference r:id="rId3" w:type="default"/>
      <w:footerReference r:id="rId4" w:type="default"/>
      <w:footerReference r:id="rId5" w:type="even"/>
      <w:pgSz w:w="16838" w:h="11906" w:orient="landscape"/>
      <w:pgMar w:top="1701" w:right="2264" w:bottom="1134" w:left="1134" w:header="851" w:footer="68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宋体" w:hAnsi="宋体"/>
      </w:rPr>
    </w:pPr>
    <w:r>
      <w:rPr>
        <w:rFonts w:ascii="宋体" w:hAnsi="宋体"/>
      </w:rPr>
      <w:fldChar w:fldCharType="begin"/>
    </w:r>
    <w:r>
      <w:rPr>
        <w:rStyle w:val="6"/>
        <w:rFonts w:ascii="宋体" w:hAnsi="宋体"/>
      </w:rPr>
      <w:instrText xml:space="preserve">PAGE  </w:instrText>
    </w:r>
    <w:r>
      <w:rPr>
        <w:rFonts w:ascii="宋体" w:hAnsi="宋体"/>
      </w:rPr>
      <w:fldChar w:fldCharType="separate"/>
    </w:r>
    <w:r>
      <w:rPr>
        <w:rStyle w:val="6"/>
        <w:rFonts w:ascii="宋体" w:hAnsi="宋体"/>
        <w:lang w:val="en-US" w:eastAsia="zh-CN"/>
      </w:rPr>
      <w:t>- 74 -</w:t>
    </w:r>
    <w:r>
      <w:rPr>
        <w:rFonts w:ascii="宋体" w:hAnsi="宋体"/>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xml:space="preserve"> </w: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wNTM0OTI1Mjk1NDE2ODRlODJhMTU0YWNiMDNkZjYifQ=="/>
  </w:docVars>
  <w:rsids>
    <w:rsidRoot w:val="00AD0204"/>
    <w:rsid w:val="000515E9"/>
    <w:rsid w:val="002F08A0"/>
    <w:rsid w:val="00395FA4"/>
    <w:rsid w:val="004C19BF"/>
    <w:rsid w:val="005473D5"/>
    <w:rsid w:val="00631562"/>
    <w:rsid w:val="00652800"/>
    <w:rsid w:val="00793250"/>
    <w:rsid w:val="00837C4B"/>
    <w:rsid w:val="00A27181"/>
    <w:rsid w:val="00AD0204"/>
    <w:rsid w:val="00C51C8A"/>
    <w:rsid w:val="00C5765A"/>
    <w:rsid w:val="00C93C1F"/>
    <w:rsid w:val="00D45F1E"/>
    <w:rsid w:val="00EE2D88"/>
    <w:rsid w:val="00FD507D"/>
    <w:rsid w:val="0CFD28D6"/>
    <w:rsid w:val="0DFA7FB0"/>
    <w:rsid w:val="1A0009E1"/>
    <w:rsid w:val="1DE43939"/>
    <w:rsid w:val="249C5207"/>
    <w:rsid w:val="2E9F0B6E"/>
    <w:rsid w:val="342E26ED"/>
    <w:rsid w:val="40A67B29"/>
    <w:rsid w:val="5E7B130D"/>
    <w:rsid w:val="624A500A"/>
    <w:rsid w:val="72DA476F"/>
    <w:rsid w:val="76731571"/>
    <w:rsid w:val="76E211B1"/>
    <w:rsid w:val="77BB4AEF"/>
    <w:rsid w:val="7BE91C63"/>
    <w:rsid w:val="7EAD5C4C"/>
    <w:rsid w:val="7F985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字符"/>
    <w:basedOn w:val="5"/>
    <w:link w:val="3"/>
    <w:qFormat/>
    <w:uiPriority w:val="0"/>
    <w:rPr>
      <w:rFonts w:ascii="Times New Roman" w:hAnsi="Times New Roman" w:eastAsia="宋体" w:cs="Times New Roman"/>
      <w:sz w:val="18"/>
      <w:szCs w:val="18"/>
    </w:rPr>
  </w:style>
  <w:style w:type="character" w:customStyle="1" w:styleId="8">
    <w:name w:val="页脚 字符"/>
    <w:basedOn w:val="5"/>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4373</Words>
  <Characters>4715</Characters>
  <Lines>35</Lines>
  <Paragraphs>9</Paragraphs>
  <TotalTime>1</TotalTime>
  <ScaleCrop>false</ScaleCrop>
  <LinksUpToDate>false</LinksUpToDate>
  <CharactersWithSpaces>4721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2020-06-02T06:20:00Z</dcterms:created>
  <dc:creator>km914</dc:creator>
  <cp:lastModifiedBy>Administrator</cp:lastModifiedBy>
  <cp:lastPrinted>2020-06-11T06:58:00Z</cp:lastPrinted>
  <dcterms:modified xsi:type="dcterms:W3CDTF">2022-11-02T05:50:54Z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7640651F80114C70A6DCB36BF56D212A</vt:lpwstr>
  </property>
</Properties>
</file>