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640" w:lineRule="exact"/>
        <w:rPr>
          <w:rFonts w:hint="eastAsia" w:ascii="Times New Roman" w:hAnsi="Times New Roman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0"/>
          <w:szCs w:val="30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val="zh-CN" w:eastAsia="zh-CN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val="zh-CN" w:eastAsia="zh-CN"/>
        </w:rPr>
        <w:t>长沙市非学科类校外培训机构审批事项部门职责分工表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val="zh-CN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98"/>
        <w:gridCol w:w="7242"/>
        <w:gridCol w:w="1230"/>
        <w:gridCol w:w="1125"/>
        <w:gridCol w:w="1545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bidi="ar"/>
              </w:rPr>
              <w:t>序</w:t>
            </w: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bidi="ar"/>
              </w:rPr>
              <w:t>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bidi="ar"/>
              </w:rPr>
              <w:t>部门名称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bidi="ar"/>
              </w:rPr>
              <w:t>审批环节对外职责分工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负责处室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处室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负责人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市教育局</w:t>
            </w:r>
          </w:p>
        </w:tc>
        <w:tc>
          <w:tcPr>
            <w:tcW w:w="7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一、在申报材料、现场评估、审核环节对体育类、文化艺术类、科技类培训机构是否符合湘教发〔2022〕30号通知中第三条“严格准入条件"的第一款、第四款、第五款规定的条件进行审核:</w:t>
            </w:r>
          </w:p>
          <w:p>
            <w:pPr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湘教发〔2022〕30号文件通知第三条第一款：举办者资格条件符合相关规定；</w:t>
            </w:r>
          </w:p>
          <w:p>
            <w:pPr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第四款：具有与培训机构类型、层次、规模相适应的开办资金或注册资本；</w:t>
            </w:r>
          </w:p>
          <w:p>
            <w:pPr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第五款：具有必要的组织机构，健全办学章程、管理制度和风险防范应急预案。健全党组织设置，保障党的工作同步开展。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 xml:space="preserve">    二、负责审批其他非学科类培训机构；</w:t>
            </w:r>
          </w:p>
          <w:p>
            <w:pPr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三、法律法规政策等规定的其他职责。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校外教育培训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监管处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王威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84899748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行政审批和政务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服务处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杨世文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88665114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市科学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技术局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一、在申报材料、现场评估、审核环节对科技</w:t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类校外培训机构是否符合湘教发〔2022〕30号通知中第三条“严格准入条件"的第二款、第三款、第六款规定的条件进行负责:</w:t>
            </w:r>
          </w:p>
          <w:p>
            <w:pPr>
              <w:spacing w:line="30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湘教发〔2022〕30号文件通知第三条第二款：具有符合国家以及行业规定的场地、设施、器材，且符合消防、环保、卫生、食品经营等管理规定；</w:t>
            </w:r>
          </w:p>
          <w:p>
            <w:pPr>
              <w:spacing w:line="30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 xml:space="preserve">第三款：具有符合相关资质条件、依法办理聘用手续、适应培训需要的从业人员；     </w:t>
            </w:r>
          </w:p>
          <w:p>
            <w:pPr>
              <w:spacing w:line="30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第六款：具有与培训项目相适应的培训目标、计划、课程内容以及保障培训质量的相应措施；</w:t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 xml:space="preserve">    二、国家和省对科技类培训项目有特殊规定的，负责指导或预先审批；</w:t>
            </w:r>
          </w:p>
          <w:p>
            <w:pPr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三、法律法规政策等规定的其他职责。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国际科技合作与人才处（行政审批与政务服务处）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张婷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88666716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"/>
              </w:rPr>
              <w:t>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市民政局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一、负责对非营利非学科培训机构的预核名；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二、颁发民办非企业法人登记证书；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三、法律法规政策等规定的其他职责。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社会组织管理局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何朝飞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88665444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"/>
              </w:rPr>
              <w:t>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市文旅广电局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一、在申报材料、现场评估、审核环节对</w:t>
            </w:r>
            <w:r>
              <w:rPr>
                <w:rStyle w:val="5"/>
                <w:rFonts w:hint="eastAsia" w:ascii="Times New Roman" w:hAnsi="Times New Roman" w:eastAsia="宋体" w:cs="宋体"/>
                <w:color w:val="auto"/>
                <w:lang w:bidi="ar"/>
              </w:rPr>
              <w:t>文化艺术类、</w:t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体育类校外培训机构是否符合湘教发〔2022〕30号通知中第三条“严格准入条件"的第二款、第三款、第六款规定的条件进行负责: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湘教发〔2022〕30号文件通知第三条第二款：具有符合国家以及行业规定的场地、设施、器材，且符合消防、环保、卫生、食品经营等管理规定；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 xml:space="preserve">第三款：具有符合相关资质条件、依法办理聘用手续、适应培训需要的从业人员；     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</w:pP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>第六款：具有与培训项目相适应的培训目标、计划、课程内容以及保障培训质量的相应措施；</w:t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宋体"/>
                <w:color w:val="auto"/>
                <w:lang w:bidi="ar"/>
              </w:rPr>
              <w:t xml:space="preserve">    二、国家和省对文化艺术类、体育类培训项目有特殊规定的，负责指导或预先审批；</w:t>
            </w:r>
          </w:p>
          <w:p>
            <w:pPr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三、法律法规政策等规定的其他职责。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科技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教育处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颜青君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88666263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" w:bidi="ar"/>
              </w:rPr>
              <w:t>5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市市场监督管理局</w:t>
            </w:r>
          </w:p>
        </w:tc>
        <w:tc>
          <w:tcPr>
            <w:tcW w:w="7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一、负责对营利非学科培训机构的预核名；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二、颁发营业执照；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三、法律法规政策等规定的其他职责。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信用监督管理处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文胜利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88635572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val="en" w:bidi="ar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7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行政审批和政务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服务处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朱 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88667696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" w:bidi="ar"/>
              </w:rPr>
              <w:t>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市住房和城乡建设局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一、负责对非学科培训机构进行消防验收或备案抽查，出具备案凭证或消防验收意见书；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shd w:val="clear" w:color="auto" w:fill="DCE6F2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二、法律法规政策等规定的其他职责。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建设工程质量安全监管处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邱大力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88665917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lang w:val="e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" w:bidi="ar"/>
              </w:rPr>
              <w:t>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市行政审批服务局</w:t>
            </w:r>
          </w:p>
        </w:tc>
        <w:tc>
          <w:tcPr>
            <w:tcW w:w="7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对申请人资料受理进窗提供业务指导和咨询；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bidi="ar"/>
              </w:rPr>
              <w:t>法律法规政策等规定的其他职责。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法规处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彭胜娟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88667904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560" w:firstLineChars="200"/>
        <w:rPr>
          <w:rFonts w:hint="eastAsia" w:ascii="Times New Roman" w:hAnsi="Times New Roman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备注：市直各有关部门负责指导各区县（市）相关部门对非学科类校外培训机构进行审批管理，县级各相关部门负责具体落实。请各区县（市）参照本表格要求将本区县（市）相关部门责任处室、负责人及联系方式面向社会公示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56A32"/>
    <w:multiLevelType w:val="singleLevel"/>
    <w:tmpl w:val="C0C56A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2022-09-22T03:26:59Z</dcterms:created>
  <dc:creator>Administrator</dc:creator>
  <cp:lastModifiedBy>需要强心脏的Miss.Z</cp:lastModifiedBy>
  <dcterms:modified xsi:type="dcterms:W3CDTF">2022-09-22T03:27:20Z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