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bookmarkStart w:id="0" w:name="RANGE!A1:G30"/>
    </w:p>
    <w:p>
      <w:pPr>
        <w:jc w:val="center"/>
        <w:rPr>
          <w:rFonts w:hint="eastAsia" w:ascii="方正小标宋简体" w:eastAsia="方正小标宋简体"/>
          <w:sz w:val="44"/>
          <w:szCs w:val="44"/>
        </w:rPr>
      </w:pPr>
    </w:p>
    <w:p>
      <w:pPr>
        <w:jc w:val="center"/>
        <w:rPr>
          <w:rFonts w:hint="eastAsia"/>
          <w:sz w:val="44"/>
          <w:szCs w:val="44"/>
        </w:rPr>
      </w:pPr>
      <w:r>
        <w:rPr>
          <w:rFonts w:hint="eastAsia" w:ascii="方正小标宋简体" w:eastAsia="方正小标宋简体"/>
          <w:sz w:val="44"/>
          <w:szCs w:val="44"/>
        </w:rPr>
        <w:t>部门整体支出绩效自评报告</w:t>
      </w:r>
    </w:p>
    <w:p>
      <w:pPr>
        <w:jc w:val="center"/>
        <w:rPr>
          <w:rFonts w:hint="eastAsia"/>
          <w:sz w:val="44"/>
          <w:szCs w:val="44"/>
        </w:rPr>
      </w:pPr>
    </w:p>
    <w:p>
      <w:pPr>
        <w:jc w:val="left"/>
        <w:rPr>
          <w:rFonts w:hint="eastAsia"/>
          <w:sz w:val="36"/>
          <w:szCs w:val="36"/>
        </w:rPr>
      </w:pPr>
    </w:p>
    <w:p>
      <w:pPr>
        <w:ind w:firstLine="540" w:firstLineChars="150"/>
        <w:jc w:val="left"/>
        <w:rPr>
          <w:rFonts w:hint="eastAsia" w:ascii="黑体" w:eastAsia="黑体"/>
          <w:sz w:val="36"/>
          <w:szCs w:val="36"/>
        </w:rPr>
      </w:pPr>
    </w:p>
    <w:p>
      <w:pPr>
        <w:ind w:firstLine="540" w:firstLineChars="150"/>
        <w:jc w:val="left"/>
        <w:rPr>
          <w:rFonts w:hint="eastAsia" w:ascii="黑体" w:eastAsia="黑体"/>
          <w:sz w:val="36"/>
          <w:szCs w:val="36"/>
        </w:rPr>
      </w:pPr>
    </w:p>
    <w:p>
      <w:pPr>
        <w:ind w:firstLine="540" w:firstLineChars="150"/>
        <w:jc w:val="left"/>
        <w:rPr>
          <w:rFonts w:hint="eastAsia" w:ascii="仿宋_GB2312" w:eastAsia="黑体"/>
          <w:sz w:val="36"/>
          <w:szCs w:val="36"/>
          <w:lang w:eastAsia="zh-CN"/>
        </w:rPr>
      </w:pPr>
      <w:r>
        <w:rPr>
          <w:rFonts w:hint="eastAsia" w:ascii="黑体" w:eastAsia="黑体"/>
          <w:sz w:val="36"/>
          <w:szCs w:val="36"/>
        </w:rPr>
        <w:t>单位名称：</w:t>
      </w:r>
      <w:r>
        <w:rPr>
          <w:rFonts w:hint="eastAsia" w:ascii="仿宋_GB2312" w:eastAsia="黑体"/>
          <w:sz w:val="36"/>
          <w:szCs w:val="36"/>
        </w:rPr>
        <w:t xml:space="preserve"> </w:t>
      </w:r>
      <w:r>
        <w:rPr>
          <w:rFonts w:hint="eastAsia" w:ascii="仿宋_GB2312" w:eastAsia="黑体"/>
          <w:sz w:val="36"/>
          <w:szCs w:val="36"/>
          <w:lang w:eastAsia="zh-CN"/>
        </w:rPr>
        <w:t>长沙市天心区民政局</w:t>
      </w:r>
    </w:p>
    <w:p>
      <w:pPr>
        <w:ind w:firstLine="540" w:firstLineChars="150"/>
        <w:jc w:val="left"/>
        <w:rPr>
          <w:rFonts w:hint="eastAsia" w:ascii="仿宋_GB2312" w:eastAsia="黑体"/>
          <w:sz w:val="36"/>
          <w:szCs w:val="36"/>
        </w:rPr>
      </w:pPr>
    </w:p>
    <w:p>
      <w:pPr>
        <w:ind w:firstLine="540" w:firstLineChars="150"/>
        <w:jc w:val="left"/>
        <w:rPr>
          <w:rFonts w:hint="eastAsia" w:ascii="仿宋_GB2312" w:hAnsi="仿宋_GB2312" w:eastAsia="仿宋_GB2312" w:cs="仿宋_GB2312"/>
          <w:sz w:val="36"/>
          <w:szCs w:val="36"/>
          <w:lang w:eastAsia="zh-CN"/>
        </w:rPr>
      </w:pPr>
      <w:r>
        <w:rPr>
          <w:rFonts w:hint="eastAsia" w:ascii="黑体" w:eastAsia="黑体"/>
          <w:sz w:val="36"/>
          <w:szCs w:val="36"/>
        </w:rPr>
        <w:t>报告填报人</w:t>
      </w:r>
      <w:r>
        <w:rPr>
          <w:rFonts w:hint="eastAsia" w:ascii="黑体" w:eastAsia="黑体"/>
          <w:sz w:val="36"/>
          <w:szCs w:val="36"/>
          <w:lang w:eastAsia="zh-CN"/>
        </w:rPr>
        <w:t>：</w:t>
      </w:r>
      <w:r>
        <w:rPr>
          <w:rFonts w:hint="eastAsia" w:ascii="仿宋_GB2312" w:eastAsia="黑体"/>
          <w:sz w:val="36"/>
          <w:szCs w:val="36"/>
          <w:lang w:eastAsia="zh-CN"/>
        </w:rPr>
        <w:t>宁剑帅</w:t>
      </w:r>
    </w:p>
    <w:p>
      <w:pPr>
        <w:ind w:firstLine="540" w:firstLineChars="150"/>
        <w:jc w:val="left"/>
        <w:rPr>
          <w:rFonts w:hint="eastAsia" w:ascii="黑体" w:eastAsia="黑体"/>
          <w:sz w:val="36"/>
          <w:szCs w:val="36"/>
        </w:rPr>
      </w:pPr>
    </w:p>
    <w:p>
      <w:pPr>
        <w:ind w:firstLine="540" w:firstLineChars="150"/>
        <w:jc w:val="left"/>
        <w:rPr>
          <w:rFonts w:hint="eastAsia" w:ascii="黑体" w:hAnsi="黑体" w:eastAsia="黑体" w:cs="黑体"/>
          <w:sz w:val="36"/>
          <w:szCs w:val="36"/>
          <w:lang w:val="en-US" w:eastAsia="zh-CN"/>
        </w:rPr>
      </w:pPr>
      <w:r>
        <w:rPr>
          <w:rFonts w:hint="eastAsia" w:ascii="黑体" w:eastAsia="黑体"/>
          <w:sz w:val="36"/>
          <w:szCs w:val="36"/>
        </w:rPr>
        <w:t>办公电话：</w:t>
      </w:r>
      <w:r>
        <w:rPr>
          <w:rFonts w:hint="eastAsia" w:ascii="黑体" w:eastAsia="黑体"/>
          <w:sz w:val="36"/>
          <w:szCs w:val="36"/>
          <w:lang w:val="en-US" w:eastAsia="zh-CN"/>
        </w:rPr>
        <w:t>0731-</w:t>
      </w:r>
      <w:r>
        <w:rPr>
          <w:rFonts w:hint="eastAsia" w:ascii="黑体" w:hAnsi="黑体" w:eastAsia="黑体" w:cs="黑体"/>
          <w:sz w:val="36"/>
          <w:szCs w:val="36"/>
          <w:lang w:val="en-US" w:eastAsia="zh-CN"/>
        </w:rPr>
        <w:t>85899102</w:t>
      </w:r>
    </w:p>
    <w:p>
      <w:pPr>
        <w:ind w:firstLine="540" w:firstLineChars="150"/>
        <w:jc w:val="left"/>
        <w:rPr>
          <w:rFonts w:hint="eastAsia" w:ascii="仿宋_GB2312" w:eastAsia="黑体"/>
          <w:sz w:val="36"/>
          <w:szCs w:val="36"/>
        </w:rPr>
      </w:pPr>
    </w:p>
    <w:p>
      <w:pPr>
        <w:jc w:val="left"/>
        <w:rPr>
          <w:rFonts w:hint="eastAsia" w:ascii="黑体" w:hAnsi="黑体" w:eastAsia="黑体" w:cs="黑体"/>
          <w:sz w:val="36"/>
          <w:szCs w:val="36"/>
          <w:lang w:val="en-US" w:eastAsia="zh-CN"/>
        </w:rPr>
      </w:pPr>
      <w:r>
        <w:rPr>
          <w:rFonts w:hint="eastAsia" w:ascii="黑体" w:eastAsia="黑体"/>
          <w:sz w:val="36"/>
          <w:szCs w:val="36"/>
        </w:rPr>
        <w:t xml:space="preserve">   手机号码：</w:t>
      </w:r>
      <w:r>
        <w:rPr>
          <w:rFonts w:hint="eastAsia" w:ascii="黑体" w:hAnsi="黑体" w:eastAsia="黑体" w:cs="黑体"/>
          <w:sz w:val="36"/>
          <w:szCs w:val="36"/>
          <w:lang w:val="en-US" w:eastAsia="zh-CN"/>
        </w:rPr>
        <w:t>18373966903</w:t>
      </w:r>
    </w:p>
    <w:p>
      <w:pPr>
        <w:jc w:val="center"/>
        <w:rPr>
          <w:rFonts w:hint="eastAsia" w:ascii="黑体" w:eastAsia="黑体"/>
          <w:sz w:val="36"/>
          <w:szCs w:val="36"/>
        </w:rPr>
      </w:pPr>
    </w:p>
    <w:p>
      <w:pPr>
        <w:spacing w:line="800" w:lineRule="exact"/>
        <w:ind w:firstLine="2160" w:firstLineChars="600"/>
        <w:jc w:val="both"/>
        <w:rPr>
          <w:rFonts w:hint="eastAsia" w:ascii="楷体_GB2312" w:eastAsia="楷体_GB2312"/>
          <w:sz w:val="36"/>
          <w:szCs w:val="36"/>
        </w:rPr>
      </w:pPr>
      <w:r>
        <w:rPr>
          <w:rFonts w:hint="eastAsia" w:ascii="楷体_GB2312" w:eastAsia="楷体_GB2312"/>
          <w:sz w:val="36"/>
          <w:szCs w:val="36"/>
        </w:rPr>
        <w:t>报告日期</w:t>
      </w:r>
      <w:r>
        <w:rPr>
          <w:rFonts w:hint="eastAsia" w:ascii="楷体_GB2312" w:eastAsia="楷体_GB2312"/>
          <w:sz w:val="36"/>
          <w:szCs w:val="36"/>
          <w:lang w:eastAsia="zh-CN"/>
        </w:rPr>
        <w:t>：</w:t>
      </w:r>
      <w:r>
        <w:rPr>
          <w:rFonts w:hint="eastAsia" w:ascii="楷体_GB2312" w:eastAsia="楷体_GB2312"/>
          <w:sz w:val="36"/>
          <w:szCs w:val="36"/>
          <w:lang w:val="en-US" w:eastAsia="zh-CN"/>
        </w:rPr>
        <w:t>2022</w:t>
      </w:r>
      <w:r>
        <w:rPr>
          <w:rFonts w:hint="eastAsia" w:ascii="楷体_GB2312" w:eastAsia="楷体_GB2312"/>
          <w:sz w:val="36"/>
          <w:szCs w:val="36"/>
        </w:rPr>
        <w:t>年</w:t>
      </w:r>
      <w:r>
        <w:rPr>
          <w:rFonts w:hint="eastAsia" w:ascii="楷体_GB2312" w:eastAsia="楷体_GB2312"/>
          <w:sz w:val="36"/>
          <w:szCs w:val="36"/>
          <w:lang w:val="en-US" w:eastAsia="zh-CN"/>
        </w:rPr>
        <w:t>4</w:t>
      </w:r>
      <w:r>
        <w:rPr>
          <w:rFonts w:hint="eastAsia" w:ascii="楷体_GB2312" w:eastAsia="楷体_GB2312"/>
          <w:sz w:val="36"/>
          <w:szCs w:val="36"/>
        </w:rPr>
        <w:t>月</w:t>
      </w:r>
      <w:r>
        <w:rPr>
          <w:rFonts w:hint="eastAsia" w:ascii="楷体_GB2312" w:eastAsia="楷体_GB2312"/>
          <w:sz w:val="36"/>
          <w:szCs w:val="36"/>
          <w:lang w:val="en-US" w:eastAsia="zh-CN"/>
        </w:rPr>
        <w:t>15</w:t>
      </w:r>
      <w:r>
        <w:rPr>
          <w:rFonts w:hint="eastAsia" w:ascii="楷体_GB2312" w:eastAsia="楷体_GB2312"/>
          <w:sz w:val="36"/>
          <w:szCs w:val="36"/>
        </w:rPr>
        <w:t xml:space="preserve"> 日</w:t>
      </w: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p>
    <w:p>
      <w:pPr>
        <w:pStyle w:val="8"/>
        <w:keepNext w:val="0"/>
        <w:keepLines w:val="0"/>
        <w:pageBreakBefore w:val="0"/>
        <w:widowControl/>
        <w:numPr>
          <w:numId w:val="0"/>
        </w:numPr>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部门基本情况</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bookmarkStart w:id="1" w:name="_GoBack"/>
      <w:bookmarkEnd w:id="1"/>
      <w:r>
        <w:rPr>
          <w:rFonts w:hint="eastAsia" w:ascii="楷体" w:hAnsi="楷体" w:eastAsia="楷体" w:cs="楷体"/>
          <w:sz w:val="32"/>
          <w:szCs w:val="32"/>
          <w:lang w:eastAsia="zh-CN"/>
        </w:rPr>
        <w:t>（一）</w:t>
      </w:r>
      <w:r>
        <w:rPr>
          <w:rFonts w:hint="eastAsia" w:ascii="楷体" w:hAnsi="楷体" w:eastAsia="楷体" w:cs="楷体"/>
          <w:color w:val="000000"/>
          <w:sz w:val="32"/>
          <w:szCs w:val="32"/>
        </w:rPr>
        <w:t>单位基本情况</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基本情况</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（1）贯彻落实国家、省、市有关民政工作的方针政策和法律法规，制定全区民政事业中、长期发展规划和年度计划，并负责组织实施和监督检查。</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（2）负责民办非企业单位的登记年检工作，监督社团活动，查处社团组织和民办非企业单位的违法行为以及未经登记而社团或者民办非企业单位名义开展活动或者经营的非法组织。</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定全区养老服务体系建设规划、政策、标准并组织实施，承担老年人福利和特殊困难老年人救助工作，协调推进农村留守老年人关爱服务工作，负责指导、监督和管理养老服务机构的老年人福利机构、特困人员救助供养机构工作，牵头负责民政系统的安全生产监督管理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（4）组织拟定全区慈善事业发展的政策、规划；组织、指导慈善组织开展活动；落实困难残疾人社会福利政策，负责中国福利彩票在线销售和管理，负责社会捐助、雷锋超市、困难救济的监督管理。</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（5）建立和实施城乡居民最低生活保障制度,管理分配中央、省、市下拨的以及本级财政安排的保障金,负责低收入家庭认证工作,指导社会救济工作。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（6）负责城市生活无着流浪乞讨人员救助，贯彻落实儿童福利、孤弃儿童关爱服务体系和困境儿童保障制度建设，收养登记工作。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贯彻落实基层群众自治组织建设和社区治理的法规政策，制定社区服务管理办法和促进社区发展的政策措施，指导村民委员会和社区居民委员会开展民主选举、民主决策、民主管理和民主监督,指导村务,政务公开以及规范化建设,指导基层群众自治组织工作，负责基层群众自治组织工作人员的培训和表彰推荐。</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（8）负责婚姻登记管理工作,倡导婚姻习俗改革。</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（9）负责全区街(镇)、村、社区及以上行政区划变更的呈报工作,承担相邻行政区域边界的勘界,日常管理工作,组织协调行政区域界线的勘定、管理以及边界争议的调处工作。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（10）指导和监督实施国家、省、市有关殡葬法律法规,推动殡葬改革工作。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（11）负责本单位及所属二级机构的党群、党风廉政、文明创建等工作，统筹推进民政法治建设，牵头负责行政审批和政务服务工作。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（12）承办区委、区政府和上级主管部分的交办的其他事项。</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2．机构情况</w:t>
      </w:r>
    </w:p>
    <w:p>
      <w:pPr>
        <w:keepNext w:val="0"/>
        <w:keepLines w:val="0"/>
        <w:pageBreakBefore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包括局机关以及社会救助事务中心（参公管理）、社会工作事务中心</w:t>
      </w:r>
      <w:r>
        <w:rPr>
          <w:rFonts w:hint="eastAsia" w:ascii="仿宋_GB2312" w:hAnsi="仿宋_GB2312" w:eastAsia="仿宋_GB2312" w:cs="仿宋_GB2312"/>
          <w:sz w:val="32"/>
          <w:szCs w:val="32"/>
          <w:lang w:eastAsia="zh-CN"/>
        </w:rPr>
        <w:t>（社会福利中心）两</w:t>
      </w:r>
      <w:r>
        <w:rPr>
          <w:rFonts w:hint="eastAsia" w:ascii="仿宋_GB2312" w:hAnsi="仿宋_GB2312" w:eastAsia="仿宋_GB2312" w:cs="仿宋_GB2312"/>
          <w:sz w:val="32"/>
          <w:szCs w:val="32"/>
        </w:rPr>
        <w:t>家直属事业单位。</w:t>
      </w:r>
    </w:p>
    <w:p>
      <w:pPr>
        <w:keepNext w:val="0"/>
        <w:keepLines w:val="0"/>
        <w:pageBreakBefore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3．人员情况，包括当年变动情况及原因。</w:t>
      </w:r>
    </w:p>
    <w:p>
      <w:pPr>
        <w:keepNext w:val="0"/>
        <w:keepLines w:val="0"/>
        <w:pageBreakBefore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年年末在职人员</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调入3人，</w:t>
      </w:r>
      <w:r>
        <w:rPr>
          <w:rFonts w:hint="eastAsia" w:ascii="仿宋_GB2312" w:hAnsi="仿宋_GB2312" w:eastAsia="仿宋_GB2312" w:cs="仿宋_GB2312"/>
          <w:sz w:val="32"/>
          <w:szCs w:val="32"/>
        </w:rPr>
        <w:t>故202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年年末比上年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人；退休人员11人，与上年持平；局聘用人员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比上年增加</w:t>
      </w:r>
      <w:r>
        <w:rPr>
          <w:rFonts w:hint="eastAsia" w:ascii="仿宋_GB2312" w:hAnsi="仿宋_GB2312" w:eastAsia="仿宋_GB2312" w:cs="仿宋_GB2312"/>
          <w:sz w:val="32"/>
          <w:szCs w:val="32"/>
          <w:lang w:val="en-US" w:eastAsia="zh-CN"/>
        </w:rPr>
        <w:t>1人，新增聘用人员3人，调出2人，故2021年年末比上年增加1人；</w:t>
      </w:r>
      <w:r>
        <w:rPr>
          <w:rFonts w:hint="eastAsia" w:ascii="仿宋_GB2312" w:hAnsi="仿宋_GB2312" w:eastAsia="仿宋_GB2312" w:cs="仿宋_GB2312"/>
          <w:sz w:val="32"/>
          <w:szCs w:val="32"/>
        </w:rPr>
        <w:t>局社会救助专干12人，与上年持平。</w:t>
      </w:r>
    </w:p>
    <w:p>
      <w:pPr>
        <w:keepNext w:val="0"/>
        <w:keepLines w:val="0"/>
        <w:pageBreakBefore w:val="0"/>
        <w:kinsoku/>
        <w:wordWrap/>
        <w:overflowPunct/>
        <w:topLinePunct w:val="0"/>
        <w:autoSpaceDE/>
        <w:autoSpaceDN/>
        <w:bidi w:val="0"/>
        <w:adjustRightInd/>
        <w:snapToGrid w:val="0"/>
        <w:spacing w:line="560" w:lineRule="exact"/>
        <w:ind w:left="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当年取得的主要事业成效。</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全面强化基本民生保障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守牢疫情防控底线。疫情期间对养老机构实行严格的封院管理，建立疫情防控驻院联络员制度，指导监督养老机构落实疫情防控各项管理制度和措施，确保了全区民政系统内无疫情、外无舆情。二是守牢民生保障底线。保民生就是保稳定，抓民生也是抓发展。三是守牢困难帮扶底线。连续2年将特殊困难群体帮扶纳入全区十大民生实事项目，深入细致做好困难群众的困难帮扶工作。</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）全面提升基层社会治理</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社区治理有新成效。扎实推进全国社区治理和服务创新实验区建设，建成社区15分钟服务圈44个，成功举办“三治融合•社区治理创新天心经验推介会”，并且顺利通过民政部终期验收，同时验收成果被省民政厅评为“优秀”。二是社会工作有新高度。探索具有天心特色的升级版社工站建设模式，将社工站打造成为民生服务平台、社区治理平台和人才培育平台。成立天心区社会工作协会，连续12年举办“天心社工节”，开展社工人才实务技能培训12场。积极推广“禾计划”社工线上服务小程序，线上线下融合，及时响应需求。</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）全面优化基本社会服务</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养老服务有温度。实施养老品牌化战略，创新智慧养老新模式，推动养老服务高质量发展，打造“天颐”养老民生品牌，升级“白沙路养老服务示范街区”。区社会福利中心正式运营，率先成立天心区养老行业协会，发布全省首张“养老服务地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二是民政服务有态度。用心用情做好服务，依法依规办好业务。社会组织蓬勃发展。第六批8家社会组织如期出壳，落实“双减”政策，完成了对在市场监管局登记的营利性培训机构，变更为在民政登记的非营利性培训机构15家。落实结婚登记全市通办，办理婚姻登记4428对，婚姻调解服务成功调和335对，保持并提升了5A级婚登窗口水平。</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（二）</w:t>
      </w:r>
      <w:r>
        <w:rPr>
          <w:rFonts w:hint="eastAsia" w:ascii="楷体" w:hAnsi="楷体" w:eastAsia="楷体" w:cs="楷体"/>
          <w:sz w:val="32"/>
          <w:szCs w:val="32"/>
        </w:rPr>
        <w:t>部门整体支出情况</w:t>
      </w:r>
    </w:p>
    <w:p>
      <w:pPr>
        <w:keepNext w:val="0"/>
        <w:keepLines w:val="0"/>
        <w:pageBreakBefore w:val="0"/>
        <w:kinsoku/>
        <w:wordWrap/>
        <w:overflowPunct/>
        <w:topLinePunct w:val="0"/>
        <w:autoSpaceDE/>
        <w:autoSpaceDN/>
        <w:bidi w:val="0"/>
        <w:adjustRightInd/>
        <w:spacing w:line="560" w:lineRule="exact"/>
        <w:ind w:lef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部门整体支出包括基本支出和项目支出。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整体支出预算安排为</w:t>
      </w:r>
      <w:r>
        <w:rPr>
          <w:rFonts w:hint="eastAsia" w:ascii="仿宋_GB2312" w:hAnsi="仿宋_GB2312" w:eastAsia="仿宋_GB2312" w:cs="仿宋_GB2312"/>
          <w:sz w:val="32"/>
          <w:szCs w:val="32"/>
          <w:lang w:val="en-US" w:eastAsia="zh-CN"/>
        </w:rPr>
        <w:t>10230.49</w:t>
      </w:r>
      <w:r>
        <w:rPr>
          <w:rFonts w:hint="eastAsia" w:ascii="仿宋_GB2312" w:hAnsi="仿宋_GB2312" w:eastAsia="仿宋_GB2312" w:cs="仿宋_GB2312"/>
          <w:sz w:val="32"/>
          <w:szCs w:val="32"/>
        </w:rPr>
        <w:t>万元，其中基本支出为</w:t>
      </w:r>
      <w:r>
        <w:rPr>
          <w:rFonts w:hint="eastAsia" w:ascii="仿宋_GB2312" w:hAnsi="仿宋_GB2312" w:eastAsia="仿宋_GB2312" w:cs="仿宋_GB2312"/>
          <w:sz w:val="32"/>
          <w:szCs w:val="32"/>
          <w:lang w:val="en-US" w:eastAsia="zh-CN"/>
        </w:rPr>
        <w:t>488.12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9742.37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全部为经常性业务专项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lang w:val="en-US" w:eastAsia="zh-CN"/>
        </w:rPr>
        <w:t>2021年本单位实际支出为14433.57万元，</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其中基本支出853.42万元，占5.91%；项目支出13580.15万元，占94.09%。</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一般公共预算支出情况</w:t>
      </w:r>
    </w:p>
    <w:p>
      <w:pPr>
        <w:keepNext w:val="0"/>
        <w:keepLines w:val="0"/>
        <w:pageBreakBefore w:val="0"/>
        <w:widowControl/>
        <w:suppressLineNumbers w:val="0"/>
        <w:kinsoku/>
        <w:wordWrap/>
        <w:overflowPunct/>
        <w:topLinePunct w:val="0"/>
        <w:autoSpaceDE/>
        <w:autoSpaceDN/>
        <w:bidi w:val="0"/>
        <w:adjustRightIn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2021年本部门一般公共预算拨款支出14433.57万元，</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其中基本支出853.42万元，占5.91%；项目支出13580.15万元，占94.09%。</w:t>
      </w:r>
      <w:r>
        <w:rPr>
          <w:rFonts w:hint="eastAsia" w:ascii="仿宋_GB2312" w:hAnsi="仿宋_GB2312" w:eastAsia="仿宋_GB2312" w:cs="仿宋_GB2312"/>
          <w:i w:val="0"/>
          <w:iCs w:val="0"/>
          <w:caps w:val="0"/>
          <w:color w:val="000000"/>
          <w:spacing w:val="0"/>
          <w:kern w:val="0"/>
          <w:sz w:val="32"/>
          <w:szCs w:val="32"/>
          <w:lang w:val="en-US" w:eastAsia="zh-CN" w:bidi="ar"/>
        </w:rPr>
        <w:t>具体安排情况如下： </w:t>
      </w:r>
    </w:p>
    <w:p>
      <w:pPr>
        <w:keepNext w:val="0"/>
        <w:keepLines w:val="0"/>
        <w:pageBreakBefore w:val="0"/>
        <w:widowControl/>
        <w:suppressLineNumbers w:val="0"/>
        <w:kinsoku/>
        <w:wordWrap/>
        <w:overflowPunct/>
        <w:topLinePunct w:val="0"/>
        <w:autoSpaceDE/>
        <w:autoSpaceDN/>
        <w:bidi w:val="0"/>
        <w:adjustRightIn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（一）基本支出</w:t>
      </w:r>
      <w:r>
        <w:rPr>
          <w:rFonts w:hint="eastAsia" w:ascii="仿宋_GB2312" w:hAnsi="仿宋_GB2312" w:eastAsia="仿宋_GB2312" w:cs="仿宋_GB2312"/>
          <w:b/>
          <w:bCs/>
          <w:i w:val="0"/>
          <w:iCs w:val="0"/>
          <w:caps w:val="0"/>
          <w:color w:val="000000"/>
          <w:spacing w:val="0"/>
          <w:kern w:val="0"/>
          <w:sz w:val="32"/>
          <w:szCs w:val="32"/>
          <w:lang w:val="en-US" w:eastAsia="zh-CN" w:bidi="ar"/>
        </w:rPr>
        <w:t>：</w:t>
      </w:r>
      <w:r>
        <w:rPr>
          <w:rFonts w:hint="eastAsia" w:ascii="仿宋_GB2312" w:hAnsi="仿宋_GB2312" w:eastAsia="仿宋_GB2312" w:cs="仿宋_GB2312"/>
          <w:i w:val="0"/>
          <w:iCs w:val="0"/>
          <w:caps w:val="0"/>
          <w:color w:val="000000"/>
          <w:spacing w:val="0"/>
          <w:kern w:val="0"/>
          <w:sz w:val="32"/>
          <w:szCs w:val="32"/>
          <w:lang w:val="en-US" w:eastAsia="zh-CN" w:bidi="ar"/>
        </w:rPr>
        <w:t>2021年本部门基本支出853.42万元，主要是为保障部门正常运转、完成日常工作任务而发生的各项支出，包括用于基本工资、津贴补贴等人员经费以及办公费、印刷费、水电费、办公设备购置等公用经费，其中公务接待费0.77万元。</w:t>
      </w:r>
    </w:p>
    <w:p>
      <w:pPr>
        <w:keepNext w:val="0"/>
        <w:keepLines w:val="0"/>
        <w:pageBreakBefore w:val="0"/>
        <w:widowControl/>
        <w:suppressLineNumbers w:val="0"/>
        <w:kinsoku/>
        <w:wordWrap/>
        <w:overflowPunct/>
        <w:topLinePunct w:val="0"/>
        <w:autoSpaceDE/>
        <w:autoSpaceDN/>
        <w:bidi w:val="0"/>
        <w:adjustRightIn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（二）项目支出：2</w:t>
      </w:r>
      <w:r>
        <w:rPr>
          <w:rFonts w:hint="eastAsia" w:ascii="仿宋_GB2312" w:hAnsi="仿宋_GB2312" w:eastAsia="仿宋_GB2312" w:cs="仿宋_GB2312"/>
          <w:i w:val="0"/>
          <w:iCs w:val="0"/>
          <w:caps w:val="0"/>
          <w:color w:val="000000"/>
          <w:spacing w:val="0"/>
          <w:kern w:val="0"/>
          <w:sz w:val="32"/>
          <w:szCs w:val="32"/>
          <w:lang w:val="en-US" w:eastAsia="zh-CN" w:bidi="ar"/>
        </w:rPr>
        <w:t>022年本部门项目支出13580.15万元，主要是部门为完成特定行政工作任务或事业发展目标而发生的支出，包括有业务工作经费和专项经费等，其中：业务工作经费支出86.64万元，包括</w:t>
      </w:r>
      <w:r>
        <w:rPr>
          <w:rFonts w:hint="eastAsia" w:ascii="仿宋_GB2312" w:hAnsi="仿宋_GB2312" w:eastAsia="仿宋_GB2312" w:cs="仿宋_GB2312"/>
          <w:kern w:val="0"/>
          <w:sz w:val="32"/>
          <w:szCs w:val="32"/>
        </w:rPr>
        <w:t>党建经费、民政工作经费、社会救助专干工作经费</w:t>
      </w:r>
      <w:r>
        <w:rPr>
          <w:rFonts w:hint="eastAsia" w:ascii="仿宋_GB2312" w:hAnsi="仿宋_GB2312" w:eastAsia="仿宋_GB2312" w:cs="仿宋_GB2312"/>
          <w:kern w:val="0"/>
          <w:sz w:val="32"/>
          <w:szCs w:val="32"/>
          <w:lang w:eastAsia="zh-CN"/>
        </w:rPr>
        <w:t>三个项目，</w:t>
      </w:r>
      <w:r>
        <w:rPr>
          <w:rFonts w:hint="eastAsia" w:ascii="仿宋_GB2312" w:hAnsi="仿宋_GB2312" w:eastAsia="仿宋_GB2312" w:cs="仿宋_GB2312"/>
          <w:i w:val="0"/>
          <w:iCs w:val="0"/>
          <w:caps w:val="0"/>
          <w:color w:val="000000"/>
          <w:spacing w:val="0"/>
          <w:kern w:val="0"/>
          <w:sz w:val="32"/>
          <w:szCs w:val="32"/>
          <w:lang w:val="en-US" w:eastAsia="zh-CN" w:bidi="ar"/>
        </w:rPr>
        <w:t>主要用于保障民政各项工作正常运转等方面。</w:t>
      </w:r>
      <w:r>
        <w:rPr>
          <w:rFonts w:hint="eastAsia" w:ascii="仿宋_GB2312" w:hAnsi="仿宋_GB2312" w:eastAsia="仿宋_GB2312" w:cs="仿宋_GB2312"/>
          <w:sz w:val="32"/>
          <w:szCs w:val="32"/>
        </w:rPr>
        <w:t>专项经费</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kern w:val="0"/>
          <w:sz w:val="32"/>
          <w:szCs w:val="32"/>
        </w:rPr>
        <w:t>13493.51</w:t>
      </w:r>
      <w:r>
        <w:rPr>
          <w:rFonts w:hint="eastAsia" w:ascii="仿宋_GB2312" w:hAnsi="仿宋_GB2312" w:eastAsia="仿宋_GB2312" w:cs="仿宋_GB2312"/>
          <w:kern w:val="0"/>
          <w:sz w:val="32"/>
          <w:szCs w:val="32"/>
          <w:lang w:eastAsia="zh-CN"/>
        </w:rPr>
        <w:t>万元，</w:t>
      </w:r>
      <w:r>
        <w:rPr>
          <w:rFonts w:hint="eastAsia" w:ascii="仿宋_GB2312" w:hAnsi="仿宋_GB2312" w:eastAsia="仿宋_GB2312" w:cs="仿宋_GB2312"/>
          <w:sz w:val="32"/>
          <w:szCs w:val="32"/>
          <w:lang w:eastAsia="zh-CN"/>
        </w:rPr>
        <w:t>主要包括</w:t>
      </w:r>
      <w:r>
        <w:rPr>
          <w:rFonts w:hint="eastAsia" w:ascii="仿宋_GB2312" w:hAnsi="仿宋_GB2312" w:eastAsia="仿宋_GB2312" w:cs="仿宋_GB2312"/>
          <w:i w:val="0"/>
          <w:iCs w:val="0"/>
          <w:caps w:val="0"/>
          <w:color w:val="000000"/>
          <w:spacing w:val="0"/>
          <w:kern w:val="0"/>
          <w:sz w:val="32"/>
          <w:szCs w:val="32"/>
          <w:lang w:val="en-US" w:eastAsia="zh-CN" w:bidi="ar"/>
        </w:rPr>
        <w:t>80岁以上老年人补助津贴2005.4万元、居家养老和养老机构建设运营补贴709.51万元，</w:t>
      </w:r>
      <w:r>
        <w:rPr>
          <w:rFonts w:hint="eastAsia" w:ascii="仿宋_GB2312" w:hAnsi="仿宋_GB2312" w:eastAsia="仿宋_GB2312" w:cs="仿宋_GB2312"/>
          <w:sz w:val="32"/>
          <w:szCs w:val="32"/>
        </w:rPr>
        <w:t>社区工作经费和人员经费（含住房公积金）</w:t>
      </w:r>
      <w:r>
        <w:rPr>
          <w:rFonts w:hint="eastAsia" w:ascii="仿宋_GB2312" w:hAnsi="仿宋_GB2312" w:eastAsia="仿宋_GB2312" w:cs="仿宋_GB2312"/>
          <w:sz w:val="32"/>
          <w:szCs w:val="32"/>
          <w:lang w:val="en-US" w:eastAsia="zh-CN"/>
        </w:rPr>
        <w:t>8013.32万元，</w:t>
      </w:r>
      <w:r>
        <w:rPr>
          <w:rFonts w:hint="eastAsia" w:ascii="仿宋_GB2312" w:hAnsi="仿宋_GB2312" w:eastAsia="仿宋_GB2312" w:cs="仿宋_GB2312"/>
          <w:kern w:val="0"/>
          <w:sz w:val="32"/>
          <w:szCs w:val="32"/>
        </w:rPr>
        <w:t>城市精品（示范）社区品牌打造</w:t>
      </w:r>
      <w:r>
        <w:rPr>
          <w:rFonts w:hint="eastAsia" w:ascii="仿宋_GB2312" w:hAnsi="仿宋_GB2312" w:eastAsia="仿宋_GB2312" w:cs="仿宋_GB2312"/>
          <w:kern w:val="0"/>
          <w:sz w:val="32"/>
          <w:szCs w:val="32"/>
          <w:lang w:val="en-US" w:eastAsia="zh-CN"/>
        </w:rPr>
        <w:t>85万元，</w:t>
      </w:r>
      <w:r>
        <w:rPr>
          <w:rFonts w:hint="eastAsia" w:ascii="仿宋_GB2312" w:hAnsi="仿宋_GB2312" w:eastAsia="仿宋_GB2312" w:cs="仿宋_GB2312"/>
          <w:kern w:val="0"/>
          <w:sz w:val="32"/>
          <w:szCs w:val="32"/>
        </w:rPr>
        <w:t>社区惠民资金</w:t>
      </w:r>
      <w:r>
        <w:rPr>
          <w:rFonts w:hint="eastAsia" w:ascii="仿宋_GB2312" w:hAnsi="仿宋_GB2312" w:eastAsia="仿宋_GB2312" w:cs="仿宋_GB2312"/>
          <w:kern w:val="0"/>
          <w:sz w:val="32"/>
          <w:szCs w:val="32"/>
          <w:lang w:val="en-US" w:eastAsia="zh-CN"/>
        </w:rPr>
        <w:t>668万元，</w:t>
      </w:r>
      <w:r>
        <w:rPr>
          <w:rFonts w:hint="eastAsia" w:ascii="仿宋_GB2312" w:hAnsi="仿宋_GB2312" w:eastAsia="仿宋_GB2312" w:cs="仿宋_GB2312"/>
          <w:i w:val="0"/>
          <w:iCs w:val="0"/>
          <w:caps w:val="0"/>
          <w:color w:val="000000"/>
          <w:spacing w:val="0"/>
          <w:kern w:val="0"/>
          <w:sz w:val="32"/>
          <w:szCs w:val="32"/>
          <w:lang w:val="en-US" w:eastAsia="zh-CN" w:bidi="ar"/>
        </w:rPr>
        <w:t>主要用于</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保障社区工作经费和人员经费，示范社区（村）打造</w:t>
      </w:r>
      <w:r>
        <w:rPr>
          <w:rFonts w:hint="eastAsia" w:ascii="仿宋_GB2312" w:hAnsi="仿宋_GB2312" w:eastAsia="仿宋_GB2312" w:cs="仿宋_GB2312"/>
          <w:i w:val="0"/>
          <w:iCs w:val="0"/>
          <w:caps w:val="0"/>
          <w:color w:val="000000"/>
          <w:spacing w:val="0"/>
          <w:kern w:val="0"/>
          <w:sz w:val="32"/>
          <w:szCs w:val="32"/>
          <w:lang w:val="en-US" w:eastAsia="zh-CN" w:bidi="ar"/>
        </w:rPr>
        <w:t>等方面；</w:t>
      </w:r>
      <w:r>
        <w:rPr>
          <w:rFonts w:hint="eastAsia" w:ascii="仿宋_GB2312" w:hAnsi="仿宋_GB2312" w:eastAsia="仿宋_GB2312" w:cs="仿宋_GB2312"/>
          <w:kern w:val="0"/>
          <w:sz w:val="32"/>
          <w:szCs w:val="32"/>
        </w:rPr>
        <w:t>社工人才队伍建设经费</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17.62万元，</w:t>
      </w:r>
      <w:r>
        <w:rPr>
          <w:rFonts w:hint="eastAsia" w:ascii="仿宋_GB2312" w:hAnsi="仿宋_GB2312" w:eastAsia="仿宋_GB2312" w:cs="仿宋_GB2312"/>
          <w:kern w:val="0"/>
          <w:sz w:val="32"/>
          <w:szCs w:val="32"/>
        </w:rPr>
        <w:t>社工师、助理社工师及督导经费</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2.43万元，</w:t>
      </w:r>
      <w:r>
        <w:rPr>
          <w:rFonts w:hint="eastAsia" w:ascii="仿宋_GB2312" w:hAnsi="仿宋_GB2312" w:eastAsia="仿宋_GB2312" w:cs="仿宋_GB2312"/>
          <w:kern w:val="0"/>
          <w:sz w:val="32"/>
          <w:szCs w:val="32"/>
        </w:rPr>
        <w:t>社会服务项目经费</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130万元，</w:t>
      </w:r>
      <w:r>
        <w:rPr>
          <w:rFonts w:hint="eastAsia" w:ascii="仿宋_GB2312" w:hAnsi="仿宋_GB2312" w:eastAsia="仿宋_GB2312" w:cs="仿宋_GB2312"/>
          <w:i w:val="0"/>
          <w:iCs w:val="0"/>
          <w:caps w:val="0"/>
          <w:color w:val="000000"/>
          <w:spacing w:val="0"/>
          <w:kern w:val="0"/>
          <w:sz w:val="32"/>
          <w:szCs w:val="32"/>
          <w:lang w:val="en-US" w:eastAsia="zh-CN" w:bidi="ar"/>
        </w:rPr>
        <w:t>主要用于社会服务和社工人才队伍建设等方面；</w:t>
      </w:r>
      <w:r>
        <w:rPr>
          <w:rFonts w:hint="eastAsia" w:ascii="仿宋_GB2312" w:hAnsi="仿宋_GB2312" w:eastAsia="仿宋_GB2312" w:cs="仿宋_GB2312"/>
          <w:kern w:val="0"/>
          <w:sz w:val="32"/>
          <w:szCs w:val="32"/>
        </w:rPr>
        <w:t>城乡居民基本殡葬服务费补助</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38.11万元，</w:t>
      </w:r>
      <w:r>
        <w:rPr>
          <w:rFonts w:hint="eastAsia" w:ascii="仿宋_GB2312" w:hAnsi="仿宋_GB2312" w:eastAsia="仿宋_GB2312" w:cs="仿宋_GB2312"/>
          <w:kern w:val="0"/>
          <w:sz w:val="32"/>
          <w:szCs w:val="32"/>
        </w:rPr>
        <w:t>儿童主任岗位补贴</w:t>
      </w:r>
      <w:r>
        <w:rPr>
          <w:rFonts w:hint="eastAsia" w:ascii="仿宋_GB2312" w:hAnsi="仿宋_GB2312" w:eastAsia="仿宋_GB2312" w:cs="仿宋_GB2312"/>
          <w:kern w:val="0"/>
          <w:sz w:val="32"/>
          <w:szCs w:val="32"/>
          <w:lang w:val="en-US" w:eastAsia="zh-CN"/>
        </w:rPr>
        <w:t>11.76万元，</w:t>
      </w:r>
      <w:r>
        <w:rPr>
          <w:rFonts w:hint="eastAsia" w:ascii="仿宋_GB2312" w:hAnsi="仿宋_GB2312" w:eastAsia="仿宋_GB2312" w:cs="仿宋_GB2312"/>
          <w:kern w:val="0"/>
          <w:sz w:val="32"/>
          <w:szCs w:val="32"/>
        </w:rPr>
        <w:t>孤儿、事实无人抚养儿童基本生活补助</w:t>
      </w:r>
      <w:r>
        <w:rPr>
          <w:rFonts w:hint="eastAsia" w:ascii="仿宋_GB2312" w:hAnsi="仿宋_GB2312" w:eastAsia="仿宋_GB2312" w:cs="仿宋_GB2312"/>
          <w:kern w:val="0"/>
          <w:sz w:val="32"/>
          <w:szCs w:val="32"/>
          <w:lang w:val="en-US" w:eastAsia="zh-CN"/>
        </w:rPr>
        <w:t>85.78万元，低保平台建设费4万元，</w:t>
      </w:r>
      <w:r>
        <w:rPr>
          <w:rFonts w:hint="eastAsia" w:ascii="仿宋_GB2312" w:hAnsi="仿宋_GB2312" w:eastAsia="仿宋_GB2312" w:cs="仿宋_GB2312"/>
          <w:kern w:val="0"/>
          <w:sz w:val="32"/>
          <w:szCs w:val="32"/>
        </w:rPr>
        <w:t>金龙鞋厂、精简下放、异地安置及宽释投诚人员经费</w:t>
      </w:r>
      <w:r>
        <w:rPr>
          <w:rFonts w:hint="eastAsia" w:ascii="仿宋_GB2312" w:hAnsi="仿宋_GB2312" w:eastAsia="仿宋_GB2312" w:cs="仿宋_GB2312"/>
          <w:kern w:val="0"/>
          <w:sz w:val="32"/>
          <w:szCs w:val="32"/>
          <w:lang w:val="en-US" w:eastAsia="zh-CN"/>
        </w:rPr>
        <w:t>84.09万元，</w:t>
      </w:r>
      <w:r>
        <w:rPr>
          <w:rFonts w:hint="eastAsia" w:ascii="仿宋_GB2312" w:hAnsi="仿宋_GB2312" w:eastAsia="仿宋_GB2312" w:cs="仿宋_GB2312"/>
          <w:kern w:val="0"/>
          <w:sz w:val="32"/>
          <w:szCs w:val="32"/>
        </w:rPr>
        <w:t>特困家庭子女高等教育助学</w:t>
      </w:r>
      <w:r>
        <w:rPr>
          <w:rFonts w:hint="eastAsia" w:ascii="仿宋_GB2312" w:hAnsi="仿宋_GB2312" w:eastAsia="仿宋_GB2312" w:cs="仿宋_GB2312"/>
          <w:kern w:val="0"/>
          <w:sz w:val="32"/>
          <w:szCs w:val="32"/>
          <w:lang w:val="en-US" w:eastAsia="zh-CN"/>
        </w:rPr>
        <w:t>10万元，</w:t>
      </w:r>
      <w:r>
        <w:rPr>
          <w:rFonts w:hint="eastAsia" w:ascii="仿宋_GB2312" w:hAnsi="仿宋_GB2312" w:eastAsia="仿宋_GB2312" w:cs="仿宋_GB2312"/>
          <w:kern w:val="0"/>
          <w:sz w:val="32"/>
          <w:szCs w:val="32"/>
        </w:rPr>
        <w:t>春节慰问困难群众</w:t>
      </w:r>
      <w:r>
        <w:rPr>
          <w:rFonts w:hint="eastAsia" w:ascii="仿宋_GB2312" w:hAnsi="仿宋_GB2312" w:eastAsia="仿宋_GB2312" w:cs="仿宋_GB2312"/>
          <w:kern w:val="0"/>
          <w:sz w:val="32"/>
          <w:szCs w:val="32"/>
          <w:lang w:val="en-US" w:eastAsia="zh-CN"/>
        </w:rPr>
        <w:t>749.8万元，</w:t>
      </w:r>
      <w:r>
        <w:rPr>
          <w:rFonts w:hint="eastAsia" w:ascii="仿宋_GB2312" w:hAnsi="仿宋_GB2312" w:eastAsia="仿宋_GB2312" w:cs="仿宋_GB2312"/>
          <w:kern w:val="0"/>
          <w:sz w:val="32"/>
          <w:szCs w:val="32"/>
        </w:rPr>
        <w:t>彩票公益金</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lang w:val="en-US" w:eastAsia="zh-CN"/>
        </w:rPr>
        <w:t>806.84万元，其他项目资金共支出51.85万元。</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资产管理情况</w:t>
      </w:r>
    </w:p>
    <w:p>
      <w:pPr>
        <w:keepNext w:val="0"/>
        <w:keepLines w:val="0"/>
        <w:pageBreakBefore w:val="0"/>
        <w:kinsoku/>
        <w:wordWrap/>
        <w:overflowPunct/>
        <w:topLinePunct w:val="0"/>
        <w:autoSpaceDE/>
        <w:autoSpaceDN/>
        <w:bidi w:val="0"/>
        <w:adjustRightInd/>
        <w:snapToGrid/>
        <w:spacing w:line="560" w:lineRule="exact"/>
        <w:ind w:left="0" w:firstLine="793" w:firstLineChars="24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资产配置情况</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年本单位增加固定资产</w:t>
      </w:r>
      <w:r>
        <w:rPr>
          <w:rFonts w:hint="eastAsia" w:ascii="仿宋_GB2312" w:hAnsi="仿宋_GB2312" w:eastAsia="仿宋_GB2312" w:cs="仿宋_GB2312"/>
          <w:sz w:val="32"/>
          <w:szCs w:val="32"/>
          <w:lang w:val="en-US" w:eastAsia="zh-CN"/>
        </w:rPr>
        <w:t>26.70万元，其中通用设备增加26.70万元；</w:t>
      </w:r>
      <w:r>
        <w:rPr>
          <w:rFonts w:hint="eastAsia" w:ascii="仿宋_GB2312" w:hAnsi="仿宋_GB2312" w:eastAsia="仿宋_GB2312" w:cs="仿宋_GB2312"/>
          <w:sz w:val="32"/>
          <w:szCs w:val="32"/>
          <w:lang w:eastAsia="zh-CN"/>
        </w:rPr>
        <w:t>未增加</w:t>
      </w:r>
      <w:r>
        <w:rPr>
          <w:rFonts w:hint="eastAsia" w:ascii="仿宋_GB2312" w:hAnsi="仿宋_GB2312" w:eastAsia="仿宋_GB2312" w:cs="仿宋_GB2312"/>
          <w:sz w:val="32"/>
          <w:szCs w:val="32"/>
        </w:rPr>
        <w:t>无形资产。</w:t>
      </w:r>
    </w:p>
    <w:p>
      <w:pPr>
        <w:pStyle w:val="8"/>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（2）资产使用情况</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我单位使用固定资产总计</w:t>
      </w:r>
      <w:r>
        <w:rPr>
          <w:rFonts w:hint="eastAsia" w:ascii="仿宋_GB2312" w:hAnsi="仿宋_GB2312" w:eastAsia="仿宋_GB2312" w:cs="仿宋_GB2312"/>
          <w:kern w:val="2"/>
          <w:sz w:val="32"/>
          <w:szCs w:val="32"/>
          <w:lang w:val="en-US" w:eastAsia="zh-CN"/>
        </w:rPr>
        <w:t>106.02</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eastAsia="zh-CN"/>
        </w:rPr>
        <w:t>。</w:t>
      </w:r>
    </w:p>
    <w:p>
      <w:pPr>
        <w:keepNext w:val="0"/>
        <w:keepLines w:val="0"/>
        <w:pageBreakBefore w:val="0"/>
        <w:tabs>
          <w:tab w:val="left" w:pos="8595"/>
        </w:tabs>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我单位按照行政单位国有资产管理的具体要求，科学合理做好资产配置，加强资产的日常管理维护，挖掘资产使用价值，规范和完善资产的处置流程，充分发挥资产在单位履行职能方面的作用，保证单位</w:t>
      </w:r>
      <w:r>
        <w:rPr>
          <w:rFonts w:hint="eastAsia" w:ascii="仿宋_GB2312" w:hAnsi="仿宋_GB2312" w:eastAsia="仿宋_GB2312" w:cs="仿宋_GB2312"/>
          <w:sz w:val="32"/>
          <w:szCs w:val="32"/>
          <w:lang w:eastAsia="zh-CN"/>
        </w:rPr>
        <w:t>高效有序</w:t>
      </w:r>
      <w:r>
        <w:rPr>
          <w:rFonts w:hint="eastAsia" w:ascii="仿宋_GB2312" w:hAnsi="仿宋_GB2312" w:eastAsia="仿宋_GB2312" w:cs="仿宋_GB2312"/>
          <w:sz w:val="32"/>
          <w:szCs w:val="32"/>
        </w:rPr>
        <w:t>运行。</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资产管理工作情况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办公室具体负责资产的采购、分配、清查，以及资产的使用、维护过程中的监督责任，各科室指定专人负责资产的日常管理工作，包括资产的登记、统计、维护、保管等，资产管理人员相</w:t>
      </w:r>
      <w:r>
        <w:rPr>
          <w:rFonts w:hint="eastAsia" w:ascii="仿宋_GB2312" w:hAnsi="仿宋_GB2312" w:eastAsia="仿宋_GB2312" w:cs="仿宋_GB2312"/>
          <w:kern w:val="2"/>
          <w:sz w:val="32"/>
          <w:szCs w:val="32"/>
          <w:lang w:eastAsia="zh-CN"/>
        </w:rPr>
        <w:t>对</w:t>
      </w:r>
      <w:r>
        <w:rPr>
          <w:rFonts w:hint="eastAsia" w:ascii="仿宋_GB2312" w:hAnsi="仿宋_GB2312" w:eastAsia="仿宋_GB2312" w:cs="仿宋_GB2312"/>
          <w:kern w:val="2"/>
          <w:sz w:val="32"/>
          <w:szCs w:val="32"/>
        </w:rPr>
        <w:t>稳定，工作调动时必须办理交接手续。资产的增减变动及时交财务登记入账，做到账实相符。在使用中如造成人为的损失，由该使用人负责赔偿。</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 xml:space="preserve">政府性基金预算支出情况 </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lang w:val="en-US" w:eastAsia="zh-CN"/>
        </w:rPr>
        <w:t>2021年政府性基金预算支出806.84万元，其中上年结余资金支出604.28万元，2021年预算支出202.56万元。主要用于对养老机构补贴，社工站补助，社会组织孵化基地补助、社区建设治理补助等方面。</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国有资本经营预算支出情况</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本单位未安排国有资本经营预算支出。</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社会保险基金预算支出情况</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本单位未安排社会保险基金预算支出。</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Chars="0" w:firstLine="320" w:firstLineChars="1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部门整体支出绩效情况</w:t>
      </w:r>
    </w:p>
    <w:p>
      <w:pPr>
        <w:keepNext w:val="0"/>
        <w:keepLines w:val="0"/>
        <w:pageBreakBefore w:val="0"/>
        <w:kinsoku/>
        <w:wordWrap/>
        <w:overflowPunct/>
        <w:topLinePunct w:val="0"/>
        <w:autoSpaceDE/>
        <w:autoSpaceDN/>
        <w:bidi w:val="0"/>
        <w:adjustRightInd/>
        <w:spacing w:line="560" w:lineRule="exact"/>
        <w:ind w:left="0"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（一）绩效目标设置情况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设立整体绩效目标依据充分，符合国家法律法规、国民经济和社会发展总体规划，符合部门制定的中长期实施规划，有利于促进事业发展;设定的绩效指标清晰、细化、可衡量，与部门年度的任务数或计划数相对应，与本年度部门预算资金相匹配;“三公”经费预算执行合理。</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1、数量目标：见各专项绩效目标内容。</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2、质量目标：推进民政管理精细化、社会救助规范化、社会福利社会化、民政服务网络化、工作手段信息化。</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3、时效目标：20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年年底完成目标。</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4、成本目标：严格控制预算，严格控制“三公经费”的支出，做到预算支出不超标。</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5、社会效益目标：</w:t>
      </w:r>
    </w:p>
    <w:p>
      <w:pPr>
        <w:keepNext w:val="0"/>
        <w:keepLines w:val="0"/>
        <w:pageBreakBefore w:val="0"/>
        <w:kinsoku/>
        <w:wordWrap/>
        <w:overflowPunct/>
        <w:topLinePunct w:val="0"/>
        <w:autoSpaceDE/>
        <w:autoSpaceDN/>
        <w:bidi w:val="0"/>
        <w:adjustRightInd/>
        <w:spacing w:line="560" w:lineRule="exact"/>
        <w:ind w:left="0"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(1)基本形成普惠型社会福利制度体系，总体福利水平、社会服务规模和体制运转效率不断提升；</w:t>
      </w:r>
    </w:p>
    <w:p>
      <w:pPr>
        <w:keepNext w:val="0"/>
        <w:keepLines w:val="0"/>
        <w:pageBreakBefore w:val="0"/>
        <w:kinsoku/>
        <w:wordWrap/>
        <w:overflowPunct/>
        <w:topLinePunct w:val="0"/>
        <w:autoSpaceDE/>
        <w:autoSpaceDN/>
        <w:bidi w:val="0"/>
        <w:adjustRightInd/>
        <w:spacing w:line="560" w:lineRule="exact"/>
        <w:ind w:left="0"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（2）社会组织基本实现“民间化设立”“规范化管理”“职业化队伍”“专业化服务”；</w:t>
      </w:r>
    </w:p>
    <w:p>
      <w:pPr>
        <w:keepNext w:val="0"/>
        <w:keepLines w:val="0"/>
        <w:pageBreakBefore w:val="0"/>
        <w:kinsoku/>
        <w:wordWrap/>
        <w:overflowPunct/>
        <w:topLinePunct w:val="0"/>
        <w:autoSpaceDE/>
        <w:autoSpaceDN/>
        <w:bidi w:val="0"/>
        <w:adjustRightInd/>
        <w:spacing w:line="560" w:lineRule="exact"/>
        <w:ind w:left="0"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（3）基本建立具有天心特色的社会工作制度；</w:t>
      </w:r>
    </w:p>
    <w:p>
      <w:pPr>
        <w:keepNext w:val="0"/>
        <w:keepLines w:val="0"/>
        <w:pageBreakBefore w:val="0"/>
        <w:kinsoku/>
        <w:wordWrap/>
        <w:overflowPunct/>
        <w:topLinePunct w:val="0"/>
        <w:autoSpaceDE/>
        <w:autoSpaceDN/>
        <w:bidi w:val="0"/>
        <w:adjustRightInd/>
        <w:spacing w:line="560" w:lineRule="exact"/>
        <w:ind w:left="0"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（4）初步实现政府行政管理与基层群众自治的有效衔接和良性互动，努力把社区建设成各种社会群体和谐相处的社会生活共同体；</w:t>
      </w:r>
    </w:p>
    <w:p>
      <w:pPr>
        <w:keepNext w:val="0"/>
        <w:keepLines w:val="0"/>
        <w:pageBreakBefore w:val="0"/>
        <w:kinsoku/>
        <w:wordWrap/>
        <w:overflowPunct/>
        <w:topLinePunct w:val="0"/>
        <w:autoSpaceDE/>
        <w:autoSpaceDN/>
        <w:bidi w:val="0"/>
        <w:adjustRightInd/>
        <w:spacing w:line="560" w:lineRule="exact"/>
        <w:ind w:left="0"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（5）慈善文化广泛普及、多层、多样的社区服务网络；</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6、服务对象满意度：社会公众对民政工作满意度达90%。</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绩效目标完成情况。</w:t>
      </w:r>
    </w:p>
    <w:p>
      <w:pPr>
        <w:keepNext w:val="0"/>
        <w:keepLines w:val="0"/>
        <w:pageBreakBefore w:val="0"/>
        <w:kinsoku/>
        <w:wordWrap/>
        <w:overflowPunct/>
        <w:topLinePunct w:val="0"/>
        <w:autoSpaceDE/>
        <w:autoSpaceDN/>
        <w:bidi w:val="0"/>
        <w:adjustRightInd/>
        <w:spacing w:line="560" w:lineRule="exact"/>
        <w:ind w:left="0"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绩效目标完成情况</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14433.57万元，</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其中基本支出853.42万元，占5.91%；项目支出13580.15万元，占94.09%。</w:t>
      </w:r>
      <w:r>
        <w:rPr>
          <w:rFonts w:hint="eastAsia" w:ascii="仿宋_GB2312" w:hAnsi="仿宋_GB2312" w:eastAsia="仿宋_GB2312" w:cs="仿宋_GB2312"/>
          <w:sz w:val="32"/>
          <w:szCs w:val="32"/>
        </w:rPr>
        <w:t>从整体情况来看，我局严格执行预算。民政专项资金专款专用、专项管理、重点使用。部门支出严格遵守各项财务规章制度，严格控制“三公经费”。</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存在的主要问题及原因分析</w:t>
      </w:r>
    </w:p>
    <w:p>
      <w:pPr>
        <w:keepNext w:val="0"/>
        <w:keepLines w:val="0"/>
        <w:pageBreakBefore w:val="0"/>
        <w:kinsoku/>
        <w:wordWrap/>
        <w:overflowPunct/>
        <w:topLinePunct w:val="0"/>
        <w:autoSpaceDE/>
        <w:autoSpaceDN/>
        <w:bidi w:val="0"/>
        <w:adjustRightInd/>
        <w:spacing w:line="560" w:lineRule="exact"/>
        <w:ind w:lef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auto"/>
          <w:sz w:val="32"/>
          <w:szCs w:val="32"/>
          <w:lang w:val="en-US" w:eastAsia="zh-CN"/>
        </w:rPr>
        <w:t>部门绩效目标未细化。2021</w:t>
      </w:r>
      <w:r>
        <w:rPr>
          <w:rFonts w:hint="eastAsia" w:ascii="仿宋_GB2312" w:hAnsi="仿宋_GB2312" w:eastAsia="仿宋_GB2312" w:cs="仿宋_GB2312"/>
          <w:bCs/>
          <w:color w:val="auto"/>
          <w:sz w:val="32"/>
          <w:szCs w:val="32"/>
          <w:lang w:eastAsia="zh-CN"/>
        </w:rPr>
        <w:t>年局</w:t>
      </w:r>
      <w:r>
        <w:rPr>
          <w:rFonts w:hint="eastAsia" w:ascii="仿宋_GB2312" w:hAnsi="仿宋_GB2312" w:eastAsia="仿宋_GB2312" w:cs="仿宋_GB2312"/>
          <w:bCs/>
          <w:color w:val="auto"/>
          <w:sz w:val="32"/>
          <w:szCs w:val="32"/>
        </w:rPr>
        <w:t>机关对</w:t>
      </w:r>
      <w:r>
        <w:rPr>
          <w:rFonts w:hint="eastAsia" w:ascii="仿宋_GB2312" w:hAnsi="仿宋_GB2312" w:eastAsia="仿宋_GB2312" w:cs="仿宋_GB2312"/>
          <w:bCs/>
          <w:color w:val="auto"/>
          <w:sz w:val="32"/>
          <w:szCs w:val="32"/>
          <w:lang w:val="en-US" w:eastAsia="zh-CN"/>
        </w:rPr>
        <w:t>部门绩效目标申报过于笼统，未按年度重点工作计划的完成数、产出的质量、产出的时效性和有关成本控制设置个性指标，不便于对部门履职情况的考核。</w:t>
      </w:r>
    </w:p>
    <w:p>
      <w:pPr>
        <w:pStyle w:val="8"/>
        <w:keepNext w:val="0"/>
        <w:keepLines w:val="0"/>
        <w:pageBreakBefore w:val="0"/>
        <w:widowControl/>
        <w:numPr>
          <w:ilvl w:val="0"/>
          <w:numId w:val="0"/>
        </w:numPr>
        <w:kinsoku/>
        <w:wordWrap/>
        <w:overflowPunct/>
        <w:topLinePunct w:val="0"/>
        <w:autoSpaceDE/>
        <w:autoSpaceDN/>
        <w:bidi w:val="0"/>
        <w:adjustRightInd/>
        <w:spacing w:line="560" w:lineRule="exact"/>
        <w:ind w:leftChars="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下一步改进措施</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在下一步工作中，对存在的问题进行认真整改，</w:t>
      </w:r>
      <w:r>
        <w:rPr>
          <w:rFonts w:hint="eastAsia" w:ascii="仿宋_GB2312" w:hAnsi="仿宋_GB2312" w:eastAsia="仿宋_GB2312" w:cs="仿宋_GB2312"/>
          <w:bCs/>
          <w:color w:val="auto"/>
          <w:sz w:val="32"/>
          <w:szCs w:val="32"/>
          <w:lang w:val="en-US" w:eastAsia="zh-CN"/>
        </w:rPr>
        <w:t>申报绩效目标时，按要求做到细化、量化。</w:t>
      </w:r>
      <w:r>
        <w:rPr>
          <w:rFonts w:hint="eastAsia" w:ascii="仿宋_GB2312" w:hAnsi="仿宋_GB2312" w:eastAsia="仿宋_GB2312" w:cs="仿宋_GB2312"/>
          <w:sz w:val="32"/>
          <w:szCs w:val="32"/>
        </w:rPr>
        <w:t>并将此次绩效自评结果用于指导后续预算工作，并按财政部门相关规定进行公示公开。</w:t>
      </w:r>
    </w:p>
    <w:p>
      <w:pPr>
        <w:pStyle w:val="8"/>
        <w:widowControl/>
        <w:numPr>
          <w:ilvl w:val="0"/>
          <w:numId w:val="0"/>
        </w:numPr>
        <w:spacing w:line="540" w:lineRule="exact"/>
        <w:rPr>
          <w:rFonts w:hint="eastAsia" w:eastAsia="黑体"/>
          <w:sz w:val="32"/>
          <w:szCs w:val="32"/>
        </w:rPr>
      </w:pPr>
      <w:r>
        <w:rPr>
          <w:rFonts w:hint="eastAsia" w:eastAsia="黑体"/>
          <w:color w:val="000000"/>
          <w:sz w:val="32"/>
          <w:szCs w:val="32"/>
          <w:lang w:eastAsia="zh-CN"/>
        </w:rPr>
        <w:t>十、</w:t>
      </w:r>
      <w:r>
        <w:rPr>
          <w:rFonts w:hint="eastAsia" w:eastAsia="黑体"/>
          <w:color w:val="000000"/>
          <w:sz w:val="32"/>
          <w:szCs w:val="32"/>
        </w:rPr>
        <w:t>其他</w:t>
      </w:r>
      <w:r>
        <w:rPr>
          <w:rFonts w:hint="eastAsia" w:eastAsia="黑体"/>
          <w:sz w:val="32"/>
          <w:szCs w:val="32"/>
        </w:rPr>
        <w:t>绩效自评工作情况说明</w:t>
      </w:r>
    </w:p>
    <w:p>
      <w:pPr>
        <w:widowControl/>
        <w:snapToGrid w:val="0"/>
        <w:spacing w:line="540" w:lineRule="exact"/>
        <w:ind w:firstLine="640" w:firstLineChars="200"/>
        <w:jc w:val="left"/>
        <w:rPr>
          <w:rFonts w:hint="eastAsia" w:eastAsia="楷体_GB2312" w:cs="Times New Roman"/>
          <w:sz w:val="32"/>
          <w:szCs w:val="32"/>
          <w:lang w:eastAsia="zh-CN"/>
        </w:rPr>
      </w:pPr>
      <w:r>
        <w:rPr>
          <w:rFonts w:hint="eastAsia" w:eastAsia="楷体_GB2312" w:cs="Times New Roman"/>
          <w:sz w:val="32"/>
          <w:szCs w:val="32"/>
          <w:lang w:eastAsia="zh-CN"/>
        </w:rPr>
        <w:t>无。</w:t>
      </w:r>
    </w:p>
    <w:p>
      <w:pPr>
        <w:widowControl/>
        <w:snapToGrid w:val="0"/>
        <w:spacing w:line="540" w:lineRule="exact"/>
        <w:ind w:firstLine="640" w:firstLineChars="200"/>
        <w:jc w:val="left"/>
        <w:rPr>
          <w:rFonts w:hint="eastAsia" w:eastAsia="楷体_GB2312" w:cs="Times New Roman"/>
          <w:sz w:val="32"/>
          <w:szCs w:val="32"/>
          <w:lang w:eastAsia="zh-CN"/>
        </w:rPr>
      </w:pPr>
    </w:p>
    <w:p>
      <w:pPr>
        <w:widowControl/>
        <w:spacing w:line="540" w:lineRule="exact"/>
        <w:ind w:firstLine="645"/>
        <w:jc w:val="left"/>
        <w:rPr>
          <w:rFonts w:hint="eastAsia" w:ascii="仿宋_GB2312" w:hAnsi="仿宋_GB2312" w:cs="仿宋_GB2312"/>
          <w:sz w:val="32"/>
          <w:szCs w:val="32"/>
        </w:rPr>
      </w:pPr>
    </w:p>
    <w:p>
      <w:pPr>
        <w:widowControl/>
        <w:spacing w:line="540" w:lineRule="exact"/>
        <w:ind w:firstLine="645"/>
        <w:jc w:val="left"/>
        <w:rPr>
          <w:rFonts w:hint="eastAsia" w:ascii="仿宋_GB2312" w:hAnsi="仿宋_GB2312" w:cs="仿宋_GB2312"/>
          <w:sz w:val="32"/>
          <w:szCs w:val="32"/>
        </w:rPr>
      </w:pPr>
    </w:p>
    <w:p>
      <w:pPr>
        <w:widowControl/>
        <w:spacing w:line="540" w:lineRule="exact"/>
        <w:ind w:firstLine="645"/>
        <w:jc w:val="left"/>
        <w:rPr>
          <w:rFonts w:hint="eastAsia" w:ascii="仿宋_GB2312" w:hAnsi="仿宋_GB2312" w:cs="仿宋_GB2312"/>
          <w:sz w:val="32"/>
          <w:szCs w:val="32"/>
        </w:rPr>
      </w:pPr>
      <w:r>
        <w:rPr>
          <w:rFonts w:hint="eastAsia" w:ascii="仿宋_GB2312" w:hAnsi="仿宋_GB2312" w:cs="仿宋_GB2312"/>
          <w:sz w:val="32"/>
          <w:szCs w:val="32"/>
        </w:rPr>
        <w:t>附件：1.部门整体支出绩效评价基础数据表</w:t>
      </w:r>
    </w:p>
    <w:p>
      <w:pPr>
        <w:widowControl/>
        <w:spacing w:line="540" w:lineRule="exact"/>
        <w:ind w:firstLine="1600" w:firstLineChars="500"/>
        <w:jc w:val="left"/>
        <w:rPr>
          <w:rFonts w:hint="eastAsia" w:ascii="仿宋_GB2312" w:hAnsi="仿宋_GB2312" w:cs="仿宋_GB2312"/>
          <w:sz w:val="32"/>
          <w:szCs w:val="32"/>
        </w:rPr>
      </w:pPr>
      <w:r>
        <w:rPr>
          <w:rFonts w:hint="eastAsia" w:ascii="仿宋_GB2312" w:hAnsi="仿宋_GB2312" w:cs="仿宋_GB2312"/>
          <w:sz w:val="32"/>
          <w:szCs w:val="32"/>
        </w:rPr>
        <w:t>2.部门整体支出绩效自评表</w:t>
      </w: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p>
    <w:p>
      <w:pPr>
        <w:rPr>
          <w:rFonts w:hint="eastAsia" w:ascii="黑体" w:hAnsi="黑体" w:eastAsia="黑体" w:cs="宋体"/>
          <w:kern w:val="0"/>
          <w:sz w:val="32"/>
          <w:szCs w:val="32"/>
        </w:rPr>
      </w:pPr>
      <w:r>
        <w:rPr>
          <w:rFonts w:hint="eastAsia" w:ascii="黑体" w:hAnsi="黑体" w:eastAsia="黑体" w:cs="宋体"/>
          <w:kern w:val="0"/>
          <w:sz w:val="32"/>
          <w:szCs w:val="32"/>
        </w:rPr>
        <w:t>附件1</w:t>
      </w:r>
      <w:bookmarkEnd w:id="0"/>
    </w:p>
    <w:p>
      <w:pPr>
        <w:jc w:val="center"/>
        <w:rPr>
          <w:rFonts w:hint="eastAsia" w:ascii="方正小标宋简体" w:hAnsi="黑体" w:eastAsia="方正小标宋简体"/>
          <w:sz w:val="44"/>
          <w:szCs w:val="44"/>
        </w:rPr>
      </w:pPr>
      <w:r>
        <w:rPr>
          <w:rFonts w:hint="eastAsia" w:ascii="方正小标宋简体" w:hAnsi="华文中宋" w:eastAsia="方正小标宋简体" w:cs="宋体"/>
          <w:kern w:val="0"/>
          <w:sz w:val="44"/>
          <w:szCs w:val="44"/>
        </w:rPr>
        <w:t>部门整体支出绩效评价基础数据表</w:t>
      </w:r>
    </w:p>
    <w:p>
      <w:pPr>
        <w:rPr>
          <w:rFonts w:hint="eastAsia" w:ascii="宋体" w:hAnsi="宋体" w:eastAsia="宋体" w:cs="宋体"/>
        </w:rPr>
      </w:pPr>
      <w:r>
        <w:rPr>
          <w:rFonts w:hint="eastAsia" w:ascii="宋体" w:hAnsi="宋体" w:eastAsia="宋体" w:cs="宋体"/>
          <w:kern w:val="0"/>
          <w:sz w:val="20"/>
        </w:rPr>
        <w:t>自评单位（盖章）：                                                                     单位：万元</w:t>
      </w:r>
    </w:p>
    <w:tbl>
      <w:tblPr>
        <w:tblStyle w:val="5"/>
        <w:tblW w:w="9948" w:type="dxa"/>
        <w:jc w:val="center"/>
        <w:tblLayout w:type="autofit"/>
        <w:tblCellMar>
          <w:top w:w="0" w:type="dxa"/>
          <w:left w:w="108" w:type="dxa"/>
          <w:bottom w:w="0" w:type="dxa"/>
          <w:right w:w="108" w:type="dxa"/>
        </w:tblCellMar>
      </w:tblPr>
      <w:tblGrid>
        <w:gridCol w:w="3324"/>
        <w:gridCol w:w="933"/>
        <w:gridCol w:w="816"/>
        <w:gridCol w:w="910"/>
        <w:gridCol w:w="1131"/>
        <w:gridCol w:w="1023"/>
        <w:gridCol w:w="1811"/>
      </w:tblGrid>
      <w:tr>
        <w:tblPrEx>
          <w:tblCellMar>
            <w:top w:w="0" w:type="dxa"/>
            <w:left w:w="108" w:type="dxa"/>
            <w:bottom w:w="0" w:type="dxa"/>
            <w:right w:w="108" w:type="dxa"/>
          </w:tblCellMar>
        </w:tblPrEx>
        <w:trPr>
          <w:trHeight w:val="397" w:hRule="atLeast"/>
          <w:jc w:val="center"/>
        </w:trPr>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财政供养人员情况</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编制数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2021年</w:t>
            </w:r>
            <w:r>
              <w:rPr>
                <w:rFonts w:hint="eastAsia" w:ascii="宋体" w:hAnsi="宋体" w:eastAsia="宋体" w:cs="宋体"/>
                <w:kern w:val="0"/>
                <w:sz w:val="20"/>
              </w:rPr>
              <w:br w:type="textWrapping"/>
            </w:r>
            <w:r>
              <w:rPr>
                <w:rFonts w:hint="eastAsia" w:ascii="宋体" w:hAnsi="宋体" w:eastAsia="宋体" w:cs="宋体"/>
                <w:kern w:val="0"/>
                <w:sz w:val="20"/>
              </w:rPr>
              <w:t>实际在职人数</w:t>
            </w:r>
          </w:p>
        </w:tc>
        <w:tc>
          <w:tcPr>
            <w:tcW w:w="10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控制率</w:t>
            </w:r>
          </w:p>
        </w:tc>
        <w:tc>
          <w:tcPr>
            <w:tcW w:w="18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经费控制情况</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21</w:t>
            </w:r>
            <w:r>
              <w:rPr>
                <w:rFonts w:hint="eastAsia" w:ascii="宋体" w:hAnsi="宋体" w:eastAsia="宋体" w:cs="宋体"/>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20</w:t>
            </w:r>
            <w:r>
              <w:rPr>
                <w:rFonts w:hint="eastAsia" w:ascii="宋体" w:hAnsi="宋体" w:eastAsia="宋体" w:cs="宋体"/>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经费控制情况</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2020年</w:t>
            </w:r>
            <w:r>
              <w:rPr>
                <w:rFonts w:hint="eastAsia" w:ascii="宋体" w:hAnsi="宋体" w:eastAsia="宋体" w:cs="宋体"/>
                <w:kern w:val="0"/>
                <w:sz w:val="20"/>
              </w:rPr>
              <w:br w:type="textWrapping"/>
            </w:r>
            <w:r>
              <w:rPr>
                <w:rFonts w:hint="eastAsia" w:ascii="宋体" w:hAnsi="宋体" w:eastAsia="宋体" w:cs="宋体"/>
                <w:kern w:val="0"/>
                <w:sz w:val="20"/>
              </w:rPr>
              <w:t>决算数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2021年</w:t>
            </w:r>
            <w:r>
              <w:rPr>
                <w:rFonts w:hint="eastAsia" w:ascii="宋体" w:hAnsi="宋体" w:eastAsia="宋体" w:cs="宋体"/>
                <w:kern w:val="0"/>
                <w:sz w:val="20"/>
              </w:rPr>
              <w:br w:type="textWrapping"/>
            </w:r>
            <w:r>
              <w:rPr>
                <w:rFonts w:hint="eastAsia" w:ascii="宋体" w:hAnsi="宋体" w:eastAsia="宋体" w:cs="宋体"/>
                <w:kern w:val="0"/>
                <w:sz w:val="20"/>
              </w:rPr>
              <w:t>预算数</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2021年</w:t>
            </w:r>
            <w:r>
              <w:rPr>
                <w:rFonts w:hint="eastAsia" w:ascii="宋体" w:hAnsi="宋体" w:eastAsia="宋体" w:cs="宋体"/>
                <w:kern w:val="0"/>
                <w:sz w:val="20"/>
              </w:rPr>
              <w:br w:type="textWrapping"/>
            </w:r>
            <w:r>
              <w:rPr>
                <w:rFonts w:hint="eastAsia" w:ascii="宋体" w:hAnsi="宋体" w:eastAsia="宋体" w:cs="宋体"/>
                <w:kern w:val="0"/>
                <w:sz w:val="20"/>
              </w:rPr>
              <w:t>决算数</w:t>
            </w:r>
          </w:p>
        </w:tc>
        <w:tc>
          <w:tcPr>
            <w:tcW w:w="1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支出合计</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14301.56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10230.49</w:t>
            </w: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14433.57</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支出合计=基本支出+项目支出</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（一）基本支出</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730.46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488.12</w:t>
            </w:r>
          </w:p>
        </w:tc>
        <w:tc>
          <w:tcPr>
            <w:tcW w:w="1023"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853.42</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其中： 三公经费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lang w:val="en-US" w:eastAsia="zh-CN"/>
              </w:rPr>
              <w:t>0.83</w:t>
            </w: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1.5</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rPr>
              <w:t>　</w:t>
            </w:r>
            <w:r>
              <w:rPr>
                <w:rFonts w:hint="eastAsia" w:ascii="宋体" w:hAnsi="宋体" w:eastAsia="宋体" w:cs="宋体"/>
                <w:kern w:val="0"/>
                <w:sz w:val="20"/>
                <w:lang w:val="en-US" w:eastAsia="zh-CN"/>
              </w:rPr>
              <w:t>0.77</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1.公务用车购置和维护经费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2.出国经费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3.公务接待</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lang w:val="en-US" w:eastAsia="zh-CN"/>
              </w:rPr>
              <w:t>0.83</w:t>
            </w: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1.5</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0.77</w:t>
            </w: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公用经费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55.55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60.72</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63.5</w:t>
            </w: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1.办公经费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2.水费、电费、差旅费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3.会议费、培训费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（二）项目支出</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13571.1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lang w:val="en-US" w:eastAsia="zh-CN"/>
              </w:rPr>
              <w:t>9742.37</w:t>
            </w: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13580.15</w:t>
            </w: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1.业务工作经费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lang w:val="en-US" w:eastAsia="zh-CN"/>
              </w:rPr>
              <w:t>86.65</w:t>
            </w: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86.64</w:t>
            </w: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共4个（党建经费、民政工作经费、社会救助专干工作经费、天心区敬老院经费）</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2.专项经费（含政府专项）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9655.72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13493.51</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等于各项目明细金额合计</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其中：80岁以上老年人补助津贴</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lang w:val="en-US" w:eastAsia="zh-CN"/>
              </w:rPr>
              <w:t>2049</w:t>
            </w: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2005.4　</w:t>
            </w:r>
          </w:p>
        </w:tc>
        <w:tc>
          <w:tcPr>
            <w:tcW w:w="181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每个专项经费应单独填列项目支出绩效自评表</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kern w:val="0"/>
                <w:sz w:val="20"/>
              </w:rPr>
            </w:pPr>
            <w:r>
              <w:rPr>
                <w:rFonts w:hint="eastAsia" w:ascii="宋体" w:hAnsi="宋体" w:eastAsia="宋体" w:cs="宋体"/>
                <w:kern w:val="0"/>
                <w:sz w:val="20"/>
              </w:rPr>
              <w:t xml:space="preserve"> 居家养老和养老机构建设运营补贴</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500</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rPr>
              <w:t>　</w:t>
            </w:r>
            <w:r>
              <w:rPr>
                <w:rFonts w:hint="eastAsia" w:ascii="宋体" w:hAnsi="宋体" w:eastAsia="宋体" w:cs="宋体"/>
                <w:kern w:val="0"/>
                <w:sz w:val="20"/>
                <w:lang w:val="en-US" w:eastAsia="zh-CN"/>
              </w:rPr>
              <w:t>709.51</w:t>
            </w:r>
          </w:p>
        </w:tc>
        <w:tc>
          <w:tcPr>
            <w:tcW w:w="181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0"/>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城市精品（示范）社区品牌打造</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rPr>
              <w:t>　</w:t>
            </w:r>
            <w:r>
              <w:rPr>
                <w:rFonts w:hint="eastAsia" w:ascii="宋体" w:hAnsi="宋体" w:eastAsia="宋体" w:cs="宋体"/>
                <w:b/>
                <w:bCs/>
                <w:kern w:val="0"/>
                <w:sz w:val="20"/>
                <w:lang w:val="en-US" w:eastAsia="zh-CN"/>
              </w:rPr>
              <w:t>86</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lang w:val="en-US" w:eastAsia="zh-CN"/>
              </w:rPr>
              <w:t>85</w:t>
            </w:r>
            <w:r>
              <w:rPr>
                <w:rFonts w:hint="eastAsia" w:ascii="宋体" w:hAnsi="宋体" w:eastAsia="宋体" w:cs="宋体"/>
                <w:kern w:val="0"/>
                <w:sz w:val="20"/>
              </w:rPr>
              <w:t>　</w:t>
            </w:r>
          </w:p>
        </w:tc>
        <w:tc>
          <w:tcPr>
            <w:tcW w:w="181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kern w:val="0"/>
                <w:sz w:val="20"/>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rPr>
              <w:t>社区工作经费和人员经费（含住房公积金）</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6523.2</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8013.32</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社工人才队伍建设经费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20</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17.62</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社工师、助理社工师及督导经费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13</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2.43</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2.52万元下在街道</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社会服务项目经费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130</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130</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城乡居民基本殡葬服务费补助</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50</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38.11</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儿童主任岗位补贴</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23.52</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11.76</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11.76万元直接下在街道</w:t>
            </w:r>
          </w:p>
        </w:tc>
      </w:tr>
      <w:tr>
        <w:tblPrEx>
          <w:tblCellMar>
            <w:top w:w="0" w:type="dxa"/>
            <w:left w:w="108" w:type="dxa"/>
            <w:bottom w:w="0" w:type="dxa"/>
            <w:right w:w="108" w:type="dxa"/>
          </w:tblCellMar>
        </w:tblPrEx>
        <w:trPr>
          <w:trHeight w:val="397" w:hRule="atLeast"/>
          <w:jc w:val="center"/>
        </w:trPr>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孤儿、事实无人抚养儿童基本生活补助</w:t>
            </w:r>
          </w:p>
        </w:tc>
        <w:tc>
          <w:tcPr>
            <w:tcW w:w="17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40</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85.78</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从春节慰问调剂11.08万元</w:t>
            </w:r>
          </w:p>
        </w:tc>
      </w:tr>
      <w:tr>
        <w:tblPrEx>
          <w:tblCellMar>
            <w:top w:w="0" w:type="dxa"/>
            <w:left w:w="108" w:type="dxa"/>
            <w:bottom w:w="0" w:type="dxa"/>
            <w:right w:w="108" w:type="dxa"/>
          </w:tblCellMar>
        </w:tblPrEx>
        <w:trPr>
          <w:trHeight w:val="397" w:hRule="atLeast"/>
          <w:jc w:val="center"/>
        </w:trPr>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低保平台建设费</w:t>
            </w:r>
          </w:p>
        </w:tc>
        <w:tc>
          <w:tcPr>
            <w:tcW w:w="17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42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4</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38万元下在街道</w:t>
            </w:r>
          </w:p>
        </w:tc>
      </w:tr>
      <w:tr>
        <w:tblPrEx>
          <w:tblCellMar>
            <w:top w:w="0" w:type="dxa"/>
            <w:left w:w="108" w:type="dxa"/>
            <w:bottom w:w="0" w:type="dxa"/>
            <w:right w:w="108" w:type="dxa"/>
          </w:tblCellMar>
        </w:tblPrEx>
        <w:trPr>
          <w:trHeight w:val="397" w:hRule="atLeast"/>
          <w:jc w:val="center"/>
        </w:trPr>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金龙鞋厂、精简下放、异地安置及宽释投诚人员经费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55</w:t>
            </w:r>
          </w:p>
        </w:tc>
        <w:tc>
          <w:tcPr>
            <w:tcW w:w="102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84.09</w:t>
            </w:r>
          </w:p>
        </w:tc>
        <w:tc>
          <w:tcPr>
            <w:tcW w:w="18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雷锋超市补助经费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114</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指标下在街道</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特困家庭子女高等教育助学</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b/>
                <w:bCs/>
                <w:kern w:val="0"/>
                <w:sz w:val="20"/>
                <w:lang w:val="en-US" w:eastAsia="zh-CN"/>
              </w:rPr>
            </w:pPr>
            <w:r>
              <w:rPr>
                <w:rFonts w:hint="eastAsia" w:ascii="宋体" w:hAnsi="宋体" w:eastAsia="宋体" w:cs="宋体"/>
                <w:b/>
                <w:bCs/>
                <w:kern w:val="0"/>
                <w:sz w:val="20"/>
                <w:lang w:val="en-US" w:eastAsia="zh-CN"/>
              </w:rPr>
              <w:t>10</w:t>
            </w:r>
          </w:p>
        </w:tc>
        <w:tc>
          <w:tcPr>
            <w:tcW w:w="102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lang w:val="en-US" w:eastAsia="zh-CN"/>
              </w:rPr>
            </w:pPr>
            <w:r>
              <w:rPr>
                <w:rFonts w:hint="eastAsia" w:ascii="宋体" w:hAnsi="宋体" w:eastAsia="宋体" w:cs="宋体"/>
                <w:kern w:val="0"/>
                <w:sz w:val="20"/>
                <w:lang w:val="en-US" w:eastAsia="zh-CN"/>
              </w:rPr>
              <w:t>10</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调剂3万元到一老一小</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春节慰问困难群众</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749.8</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切块资金</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彩票公益金</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806.84</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社区惠民资金经费</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p>
        </w:tc>
        <w:tc>
          <w:tcPr>
            <w:tcW w:w="10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FF0000"/>
                <w:kern w:val="2"/>
                <w:sz w:val="20"/>
                <w:szCs w:val="20"/>
                <w:u w:val="none"/>
                <w:lang w:val="en-US" w:eastAsia="zh-CN" w:bidi="ar-SA"/>
              </w:rPr>
            </w:pPr>
            <w:r>
              <w:rPr>
                <w:rFonts w:hint="eastAsia" w:ascii="仿宋_GB2312" w:hAnsi="宋体" w:cs="仿宋_GB2312"/>
                <w:i w:val="0"/>
                <w:iCs w:val="0"/>
                <w:color w:val="auto"/>
                <w:kern w:val="0"/>
                <w:sz w:val="20"/>
                <w:szCs w:val="20"/>
                <w:u w:val="none"/>
                <w:lang w:val="en-US" w:eastAsia="zh-CN" w:bidi="ar"/>
              </w:rPr>
              <w:t>712</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市级资金</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其他项目</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51.85</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38.56万元基政上年结余资金，0.5万元奖励金，5.31万元维稳工作经费，敬老院捐赠经费5万元，其他结余资金2.48万元</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0"/>
              </w:rPr>
            </w:pPr>
            <w:r>
              <w:rPr>
                <w:rFonts w:hint="eastAsia" w:ascii="宋体" w:hAnsi="宋体" w:eastAsia="宋体" w:cs="宋体"/>
                <w:b/>
                <w:bCs/>
                <w:kern w:val="0"/>
                <w:sz w:val="20"/>
              </w:rPr>
              <w:t>补充数据</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政府采购金额</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294.29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463.12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818.01</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xml:space="preserve">  资产购置支出</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2.06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26.7</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26.7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部门整体支出预算调整</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楼堂馆所控制情况</w:t>
            </w:r>
            <w:r>
              <w:rPr>
                <w:rFonts w:hint="eastAsia" w:ascii="宋体" w:hAnsi="宋体" w:eastAsia="宋体" w:cs="宋体"/>
                <w:kern w:val="0"/>
                <w:sz w:val="20"/>
              </w:rPr>
              <w:br w:type="textWrapping"/>
            </w:r>
            <w:r>
              <w:rPr>
                <w:rFonts w:hint="eastAsia" w:ascii="宋体" w:hAnsi="宋体" w:eastAsia="宋体" w:cs="宋体"/>
                <w:kern w:val="0"/>
                <w:sz w:val="20"/>
              </w:rPr>
              <w:t>（2021 年完工项目）</w:t>
            </w:r>
          </w:p>
        </w:tc>
        <w:tc>
          <w:tcPr>
            <w:tcW w:w="9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批复规模（m</w:t>
            </w:r>
            <w:r>
              <w:rPr>
                <w:rFonts w:hint="eastAsia" w:ascii="宋体" w:hAnsi="宋体" w:eastAsia="宋体" w:cs="宋体"/>
                <w:kern w:val="0"/>
                <w:sz w:val="21"/>
                <w:szCs w:val="21"/>
                <w:vertAlign w:val="superscript"/>
              </w:rPr>
              <w:t>2</w:t>
            </w:r>
            <w:r>
              <w:rPr>
                <w:rFonts w:hint="eastAsia" w:ascii="宋体" w:hAnsi="宋体" w:eastAsia="宋体" w:cs="宋体"/>
                <w:kern w:val="0"/>
                <w:sz w:val="21"/>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实际规模（m</w:t>
            </w:r>
            <w:r>
              <w:rPr>
                <w:rFonts w:hint="eastAsia" w:ascii="宋体" w:hAnsi="宋体" w:eastAsia="宋体" w:cs="宋体"/>
                <w:kern w:val="0"/>
                <w:sz w:val="21"/>
                <w:szCs w:val="21"/>
                <w:vertAlign w:val="superscript"/>
              </w:rPr>
              <w:t>2</w:t>
            </w:r>
            <w:r>
              <w:rPr>
                <w:rFonts w:hint="eastAsia" w:ascii="宋体" w:hAnsi="宋体" w:eastAsia="宋体" w:cs="宋体"/>
                <w:kern w:val="0"/>
                <w:sz w:val="21"/>
                <w:szCs w:val="21"/>
              </w:rPr>
              <w:t>）</w:t>
            </w:r>
          </w:p>
        </w:tc>
        <w:tc>
          <w:tcPr>
            <w:tcW w:w="9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规模控制率</w:t>
            </w:r>
          </w:p>
        </w:tc>
        <w:tc>
          <w:tcPr>
            <w:tcW w:w="11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预算投资</w:t>
            </w:r>
            <w:r>
              <w:rPr>
                <w:rFonts w:hint="eastAsia" w:ascii="宋体" w:hAnsi="宋体" w:eastAsia="宋体" w:cs="宋体"/>
                <w:kern w:val="0"/>
                <w:sz w:val="20"/>
              </w:rPr>
              <w:br w:type="textWrapping"/>
            </w:r>
            <w:r>
              <w:rPr>
                <w:rFonts w:hint="eastAsia" w:ascii="宋体" w:hAnsi="宋体" w:eastAsia="宋体" w:cs="宋体"/>
                <w:kern w:val="0"/>
                <w:sz w:val="20"/>
              </w:rPr>
              <w:t>（万元）</w:t>
            </w:r>
          </w:p>
        </w:tc>
        <w:tc>
          <w:tcPr>
            <w:tcW w:w="1023" w:type="dxa"/>
            <w:tcBorders>
              <w:top w:val="nil"/>
              <w:left w:val="nil"/>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实际投资</w:t>
            </w:r>
            <w:r>
              <w:rPr>
                <w:rFonts w:hint="eastAsia" w:ascii="宋体" w:hAnsi="宋体" w:eastAsia="宋体" w:cs="宋体"/>
                <w:kern w:val="0"/>
                <w:sz w:val="20"/>
              </w:rPr>
              <w:br w:type="textWrapping"/>
            </w:r>
            <w:r>
              <w:rPr>
                <w:rFonts w:hint="eastAsia" w:ascii="宋体" w:hAnsi="宋体" w:eastAsia="宋体" w:cs="宋体"/>
                <w:kern w:val="0"/>
                <w:sz w:val="20"/>
              </w:rPr>
              <w:t>（万元）</w:t>
            </w:r>
          </w:p>
        </w:tc>
        <w:tc>
          <w:tcPr>
            <w:tcW w:w="1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投资概算控制率</w:t>
            </w:r>
          </w:p>
        </w:tc>
      </w:tr>
      <w:tr>
        <w:tblPrEx>
          <w:tblCellMar>
            <w:top w:w="0" w:type="dxa"/>
            <w:left w:w="108" w:type="dxa"/>
            <w:bottom w:w="0" w:type="dxa"/>
            <w:right w:w="108" w:type="dxa"/>
          </w:tblCellMar>
        </w:tblPrEx>
        <w:trPr>
          <w:trHeight w:val="397" w:hRule="atLeast"/>
          <w:jc w:val="center"/>
        </w:trPr>
        <w:tc>
          <w:tcPr>
            <w:tcW w:w="33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厉行节约保障措施</w:t>
            </w:r>
          </w:p>
        </w:tc>
        <w:tc>
          <w:tcPr>
            <w:tcW w:w="17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adjustRightInd w:val="0"/>
        <w:snapToGrid w:val="0"/>
        <w:spacing w:line="560" w:lineRule="exact"/>
        <w:ind w:right="-36"/>
        <w:jc w:val="left"/>
        <w:rPr>
          <w:rFonts w:ascii="仿宋_GB2312"/>
          <w:kern w:val="0"/>
          <w:sz w:val="32"/>
          <w:szCs w:val="32"/>
        </w:rPr>
        <w:sectPr>
          <w:pgSz w:w="11907" w:h="16840"/>
          <w:pgMar w:top="1588" w:right="1134" w:bottom="1134" w:left="1134" w:header="851" w:footer="1247" w:gutter="0"/>
          <w:paperSrc w:first="7" w:other="7"/>
          <w:cols w:space="720" w:num="1"/>
          <w:docGrid w:linePitch="381" w:charSpace="-5735"/>
        </w:sectPr>
      </w:pPr>
    </w:p>
    <w:p>
      <w:pPr>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p>
    <w:p>
      <w:pPr>
        <w:widowControl/>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部门整体支出绩效自评表</w:t>
      </w:r>
    </w:p>
    <w:p>
      <w:pPr>
        <w:widowControl/>
        <w:jc w:val="left"/>
        <w:rPr>
          <w:rFonts w:hint="default" w:ascii="宋体" w:hAnsi="宋体" w:eastAsia="宋体" w:cs="宋体"/>
          <w:sz w:val="21"/>
          <w:szCs w:val="21"/>
          <w:lang w:val="en-US" w:eastAsia="zh-CN"/>
        </w:rPr>
      </w:pPr>
      <w:r>
        <w:rPr>
          <w:rFonts w:hint="eastAsia" w:ascii="宋体" w:hAnsi="宋体" w:eastAsia="宋体" w:cs="宋体"/>
          <w:kern w:val="0"/>
          <w:sz w:val="21"/>
          <w:szCs w:val="21"/>
        </w:rPr>
        <w:t xml:space="preserve">预算单位（盖章）：     </w:t>
      </w:r>
      <w:r>
        <w:rPr>
          <w:rFonts w:hint="eastAsia" w:ascii="宋体" w:hAnsi="宋体" w:eastAsia="宋体" w:cs="宋体"/>
          <w:kern w:val="0"/>
          <w:sz w:val="21"/>
          <w:szCs w:val="21"/>
          <w:lang w:eastAsia="zh-CN"/>
        </w:rPr>
        <w:t>天心区民政局</w:t>
      </w:r>
      <w:r>
        <w:rPr>
          <w:rFonts w:hint="eastAsia" w:ascii="宋体" w:hAnsi="宋体" w:eastAsia="宋体" w:cs="宋体"/>
          <w:kern w:val="0"/>
          <w:sz w:val="21"/>
          <w:szCs w:val="21"/>
        </w:rPr>
        <w:t xml:space="preserve">                      日期：</w:t>
      </w:r>
      <w:r>
        <w:rPr>
          <w:rFonts w:hint="eastAsia" w:ascii="宋体" w:hAnsi="宋体" w:eastAsia="宋体" w:cs="宋体"/>
          <w:kern w:val="0"/>
          <w:sz w:val="21"/>
          <w:szCs w:val="21"/>
          <w:lang w:val="en-US" w:eastAsia="zh-CN"/>
        </w:rPr>
        <w:t>2022年4月15日</w:t>
      </w:r>
    </w:p>
    <w:tbl>
      <w:tblPr>
        <w:tblStyle w:val="5"/>
        <w:tblW w:w="10955" w:type="dxa"/>
        <w:jc w:val="center"/>
        <w:tblLayout w:type="autofit"/>
        <w:tblCellMar>
          <w:top w:w="0" w:type="dxa"/>
          <w:left w:w="108" w:type="dxa"/>
          <w:bottom w:w="0" w:type="dxa"/>
          <w:right w:w="108" w:type="dxa"/>
        </w:tblCellMar>
      </w:tblPr>
      <w:tblGrid>
        <w:gridCol w:w="699"/>
        <w:gridCol w:w="835"/>
        <w:gridCol w:w="653"/>
        <w:gridCol w:w="576"/>
        <w:gridCol w:w="3402"/>
        <w:gridCol w:w="4241"/>
        <w:gridCol w:w="549"/>
      </w:tblGrid>
      <w:tr>
        <w:tblPrEx>
          <w:tblCellMar>
            <w:top w:w="0" w:type="dxa"/>
            <w:left w:w="108" w:type="dxa"/>
            <w:bottom w:w="0" w:type="dxa"/>
            <w:right w:w="108" w:type="dxa"/>
          </w:tblCellMar>
        </w:tblPrEx>
        <w:trPr>
          <w:trHeight w:val="285" w:hRule="atLeast"/>
          <w:tblHeader/>
          <w:jc w:val="center"/>
        </w:trPr>
        <w:tc>
          <w:tcPr>
            <w:tcW w:w="280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评价指标</w:t>
            </w:r>
          </w:p>
        </w:tc>
        <w:tc>
          <w:tcPr>
            <w:tcW w:w="3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评分要点</w:t>
            </w:r>
          </w:p>
        </w:tc>
        <w:tc>
          <w:tcPr>
            <w:tcW w:w="42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评分标准</w:t>
            </w:r>
          </w:p>
        </w:tc>
        <w:tc>
          <w:tcPr>
            <w:tcW w:w="386" w:type="dxa"/>
            <w:vMerge w:val="restart"/>
            <w:tcBorders>
              <w:top w:val="single" w:color="auto" w:sz="4" w:space="0"/>
              <w:left w:val="single" w:color="auto" w:sz="4" w:space="0"/>
              <w:bottom w:val="single" w:color="auto" w:sz="4" w:space="0"/>
              <w:right w:val="single" w:color="auto" w:sz="4" w:space="0"/>
            </w:tcBorders>
            <w:noWrap/>
            <w:vAlign w:val="center"/>
          </w:tcPr>
          <w:p>
            <w:pPr>
              <w:widowControl/>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自</w:t>
            </w:r>
          </w:p>
          <w:p>
            <w:pPr>
              <w:widowControl/>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评</w:t>
            </w:r>
          </w:p>
          <w:p>
            <w:pPr>
              <w:widowControl/>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分</w:t>
            </w:r>
          </w:p>
        </w:tc>
      </w:tr>
      <w:tr>
        <w:tblPrEx>
          <w:tblCellMar>
            <w:top w:w="0" w:type="dxa"/>
            <w:left w:w="108" w:type="dxa"/>
            <w:bottom w:w="0" w:type="dxa"/>
            <w:right w:w="108" w:type="dxa"/>
          </w:tblCellMar>
        </w:tblPrEx>
        <w:trPr>
          <w:trHeight w:val="423" w:hRule="atLeast"/>
          <w:tblHeader/>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220" w:lineRule="exact"/>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一级</w:t>
            </w:r>
          </w:p>
          <w:p>
            <w:pPr>
              <w:widowControl/>
              <w:spacing w:line="220" w:lineRule="exact"/>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指标</w:t>
            </w:r>
          </w:p>
        </w:tc>
        <w:tc>
          <w:tcPr>
            <w:tcW w:w="848"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rPr>
            </w:pPr>
            <w:r>
              <w:rPr>
                <w:rFonts w:hint="eastAsia" w:ascii="宋体" w:hAnsi="宋体" w:eastAsia="宋体" w:cs="宋体"/>
                <w:kern w:val="0"/>
                <w:sz w:val="20"/>
              </w:rPr>
              <w:t>二级</w:t>
            </w:r>
          </w:p>
          <w:p>
            <w:pPr>
              <w:widowControl/>
              <w:spacing w:line="220" w:lineRule="exact"/>
              <w:jc w:val="center"/>
              <w:rPr>
                <w:rFonts w:hint="eastAsia" w:ascii="宋体" w:hAnsi="宋体" w:eastAsia="宋体" w:cs="宋体"/>
                <w:kern w:val="0"/>
                <w:sz w:val="20"/>
              </w:rPr>
            </w:pPr>
            <w:r>
              <w:rPr>
                <w:rFonts w:hint="eastAsia" w:ascii="宋体" w:hAnsi="宋体" w:eastAsia="宋体" w:cs="宋体"/>
                <w:kern w:val="0"/>
                <w:sz w:val="20"/>
              </w:rPr>
              <w:t>指标</w:t>
            </w:r>
          </w:p>
        </w:tc>
        <w:tc>
          <w:tcPr>
            <w:tcW w:w="657"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20"/>
              </w:rPr>
            </w:pPr>
            <w:r>
              <w:rPr>
                <w:rFonts w:hint="eastAsia" w:ascii="宋体" w:hAnsi="宋体" w:eastAsia="宋体" w:cs="宋体"/>
                <w:kern w:val="0"/>
                <w:sz w:val="20"/>
              </w:rPr>
              <w:t>三级</w:t>
            </w:r>
          </w:p>
          <w:p>
            <w:pPr>
              <w:widowControl/>
              <w:spacing w:line="220" w:lineRule="exact"/>
              <w:jc w:val="center"/>
              <w:rPr>
                <w:rFonts w:hint="eastAsia" w:ascii="宋体" w:hAnsi="宋体" w:eastAsia="宋体" w:cs="宋体"/>
                <w:kern w:val="0"/>
                <w:sz w:val="20"/>
              </w:rPr>
            </w:pPr>
            <w:r>
              <w:rPr>
                <w:rFonts w:hint="eastAsia" w:ascii="宋体" w:hAnsi="宋体" w:eastAsia="宋体" w:cs="宋体"/>
                <w:kern w:val="0"/>
                <w:sz w:val="20"/>
              </w:rPr>
              <w:t>指标</w:t>
            </w:r>
          </w:p>
        </w:tc>
        <w:tc>
          <w:tcPr>
            <w:tcW w:w="576" w:type="dxa"/>
            <w:tcBorders>
              <w:top w:val="nil"/>
              <w:left w:val="nil"/>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20"/>
              </w:rPr>
            </w:pPr>
            <w:r>
              <w:rPr>
                <w:rFonts w:hint="eastAsia" w:ascii="宋体" w:hAnsi="宋体" w:eastAsia="宋体" w:cs="宋体"/>
                <w:kern w:val="0"/>
                <w:sz w:val="20"/>
              </w:rPr>
              <w:t>分值</w:t>
            </w:r>
          </w:p>
        </w:tc>
        <w:tc>
          <w:tcPr>
            <w:tcW w:w="3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c>
          <w:tcPr>
            <w:tcW w:w="42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c>
          <w:tcPr>
            <w:tcW w:w="3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r>
      <w:tr>
        <w:tblPrEx>
          <w:tblCellMar>
            <w:top w:w="0" w:type="dxa"/>
            <w:left w:w="108" w:type="dxa"/>
            <w:bottom w:w="0" w:type="dxa"/>
            <w:right w:w="108" w:type="dxa"/>
          </w:tblCellMar>
        </w:tblPrEx>
        <w:trPr>
          <w:trHeight w:val="1519" w:hRule="atLeast"/>
          <w:jc w:val="center"/>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投入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（9分）</w:t>
            </w:r>
          </w:p>
        </w:tc>
        <w:tc>
          <w:tcPr>
            <w:tcW w:w="8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目标</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设定</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（6分）</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绩效目标合理性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①是否符合国家法律法规、国民经济和社会发展总体规划；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②是否符合部门“三定”方案确定的职责；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③是否符合部门制定的发展实施规划；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④是否分别制定了整体绩效目标和项目绩效目标。</w:t>
            </w:r>
          </w:p>
        </w:tc>
        <w:tc>
          <w:tcPr>
            <w:tcW w:w="4241"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①符合国家相关法律法规、国民经济和社会发展规划，计0.5分，否则不得分；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②与部门（单位）职责密切相关，计0.5分，否则不得分；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③符合部门制定的发展实施规划，计0.5分，否则不得分；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④按相关要求分别制定了整体绩效目标和项目绩效目标，计0.5分，否则不得分。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625"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绩效指标明确性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①是否将部门整体的绩效目标细化分解为具体的工作任务；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②是否通过清晰、可衡量的指标值予以体现；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③是否将项目绩效目标与部门年度的任务数或计划数相对应；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④是否与本年度部门预算资金相匹配。</w:t>
            </w:r>
          </w:p>
        </w:tc>
        <w:tc>
          <w:tcPr>
            <w:tcW w:w="4241"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①有目标，计1分，否则不得分；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②目标明确，细化量化良好，个性指标中量化指标超过3个，计1分，量化指标为2个，计0.5分，2个以下不得分；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③与年度任务数或计划数相对应，计1分，低于2个，计0.5分，低于4个不得分；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④目标与资金匹配良好，逻辑关系明确，计1分，否则不得分。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4</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625"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配置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（3分）</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人员控制率</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527"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在职人员控制率=（在职人员数/编制数）×100%。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聘用人员控制率≦人社和编办共同批复的人数；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在职人员数：部门（单位）实际在职人数，以财政部门确定的部门决算编制口径为准。编制数：机构编制部门核定批复的部门（单位）的人员编制数。</w:t>
            </w:r>
          </w:p>
        </w:tc>
        <w:tc>
          <w:tcPr>
            <w:tcW w:w="424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在职人员控制率≦100%计2分，每超出1%扣0.2分，扣完为止。聘用人员实际使用数小于等于编办人社部门批复数，计1分，否则不得分。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3</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200" w:hRule="atLeast"/>
          <w:jc w:val="center"/>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过程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（41分）</w:t>
            </w:r>
          </w:p>
        </w:tc>
        <w:tc>
          <w:tcPr>
            <w:tcW w:w="8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执行</w:t>
            </w:r>
          </w:p>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（16分）</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整体支出预算执行率=（预算完成数/预算数）×100%。预算完成数：部门本年度实际完成的预算数。预算数：经批复的本年度部门（调整）预算数。</w:t>
            </w:r>
          </w:p>
        </w:tc>
        <w:tc>
          <w:tcPr>
            <w:tcW w:w="4241"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整体支出预算执行率达95%及以上的计满分；低于95%的，得分=执行率*评分系数*满分。其中，执行率达90%-95%的，评分系数为1；80%-90%的，系数为0.8；70%-80%的，系数为0.6；60%-70%的，系数为0.4；50%-60%的，系数为0.2；50%以下的，系数为0，计零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6</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685"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预算调整率</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527"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预算调整率=（预算调整数/预算数）×100%。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预算调整数：部门（单位）在本年度内涉及预算的追加、追减或结构调整的资金总和、部门预算调整务必精准有效（因落实国家政策、发生不可抗力，区委区政府临时交办而产生的调整及经济科目非跨类调整除外）。</w:t>
            </w:r>
          </w:p>
        </w:tc>
        <w:tc>
          <w:tcPr>
            <w:tcW w:w="42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预算调整率〈5%，计3分；5-10%（含）计1.5分；大于10%不得分。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4</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88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“三公经费”控制率</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“三公经费”控制率=（“三公经费”实际支出数/“三公经费”预算安排数）×100%。不超当年预算，不超上年决算。</w:t>
            </w:r>
          </w:p>
        </w:tc>
        <w:tc>
          <w:tcPr>
            <w:tcW w:w="42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“三公经费”控制率100%以下（含）计2分，每超出1%扣0.15分，扣完为止。</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3</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365"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政府采购执行率和规范性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527"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①政府采购执行率=（实际政府采购金额/政府采购预算数）×100%政府采购预算：采购机关根据事业发展计划和行政任务编制的、并经过规定程序批准的年度政府采购计划。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w:t>
            </w:r>
            <w:r>
              <w:rPr>
                <w:rFonts w:hint="eastAsia" w:ascii="宋体" w:hAnsi="宋体" w:eastAsia="宋体" w:cs="宋体"/>
                <w:spacing w:val="-6"/>
                <w:kern w:val="0"/>
                <w:sz w:val="18"/>
                <w:szCs w:val="18"/>
              </w:rPr>
              <w:t>预算单位严格执行《政府采购法》，无规避政府采购或化整为零进行政府采购的行为。所有项目必须依法采购，履行验收手续</w:t>
            </w:r>
            <w:r>
              <w:rPr>
                <w:rFonts w:hint="eastAsia" w:ascii="宋体" w:hAnsi="宋体" w:eastAsia="宋体" w:cs="宋体"/>
                <w:kern w:val="0"/>
                <w:sz w:val="18"/>
                <w:szCs w:val="18"/>
              </w:rPr>
              <w:t>；</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③预算</w:t>
            </w:r>
            <w:r>
              <w:rPr>
                <w:rFonts w:hint="eastAsia" w:ascii="宋体" w:hAnsi="宋体" w:eastAsia="宋体" w:cs="宋体"/>
                <w:spacing w:val="-6"/>
                <w:kern w:val="0"/>
                <w:sz w:val="18"/>
                <w:szCs w:val="18"/>
              </w:rPr>
              <w:t>单位是否建立健全政府采购内部控制制度，是否根据上级文件清理中介机构库。</w:t>
            </w:r>
          </w:p>
        </w:tc>
        <w:tc>
          <w:tcPr>
            <w:tcW w:w="4241" w:type="dxa"/>
            <w:tcBorders>
              <w:top w:val="nil"/>
              <w:left w:val="nil"/>
              <w:bottom w:val="single" w:color="auto" w:sz="4" w:space="0"/>
              <w:right w:val="single" w:color="auto" w:sz="4" w:space="0"/>
            </w:tcBorders>
            <w:noWrap w:val="0"/>
            <w:vAlign w:val="center"/>
          </w:tcPr>
          <w:p>
            <w:pPr>
              <w:widowControl/>
              <w:spacing w:line="220" w:lineRule="exact"/>
              <w:rPr>
                <w:rFonts w:hint="eastAsia" w:ascii="宋体" w:hAnsi="宋体" w:eastAsia="宋体" w:cs="宋体"/>
                <w:kern w:val="0"/>
                <w:sz w:val="18"/>
                <w:szCs w:val="18"/>
              </w:rPr>
            </w:pPr>
            <w:r>
              <w:rPr>
                <w:rFonts w:hint="eastAsia" w:ascii="宋体" w:hAnsi="宋体" w:eastAsia="宋体" w:cs="宋体"/>
                <w:kern w:val="0"/>
                <w:sz w:val="18"/>
                <w:szCs w:val="18"/>
              </w:rPr>
              <w:t>①政府采购执行率100%计1分，每超过（降低）1%扣0.1分，扣完为止；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②所有项目依法采购，无规避政府采购或化整为零进行政府采购的行为，并履行验收手续计1分，否则不得分；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③预算单位建立了政府采购内控制度和根据上级文件清理中介机构库得1分，否则不得分。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3</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242" w:hRule="atLeast"/>
          <w:jc w:val="center"/>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过程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（41分）</w:t>
            </w:r>
          </w:p>
        </w:tc>
        <w:tc>
          <w:tcPr>
            <w:tcW w:w="8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管理</w:t>
            </w:r>
          </w:p>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（20分）</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管理制度健全性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①部门（单位）内控制度、内部财务管理制度和会计核算制度是否健全；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②相关管理制度是否合法、合规、完整；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③相关管理制度是否得到有效执行；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④落实政府2021年“过紧日子”政策的具体举措及实施情况。</w:t>
            </w:r>
          </w:p>
        </w:tc>
        <w:tc>
          <w:tcPr>
            <w:tcW w:w="4241"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①部门（单位）内控制度、内部财务管理制度和会计核算制度健全，计1分，否则酌情扣分；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②管理制度合法、合规、完整，计0.5分，否则酌情扣分；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③管理制度得到有效执行，计1分，1例不符合扣0.2分；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④对非刚性项目支出压减5%及以上计0.5分，否则不得分。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3</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242"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资金使用合规性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①是否符合国家财经法规和财务管理制度以及有关专项资金管理办法的规定；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②资金的支付是否有完整的审批程序和手续；</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③重大项目开支和大额资金使用是否经单位党组集体研究决策；</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④是否符合项目预算批复或合同规定的用途；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⑤是否存在截留、挤占、挪用、虚列支出等情况；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⑥是否存在重复申报项目、虚报冒领资金。</w:t>
            </w:r>
          </w:p>
        </w:tc>
        <w:tc>
          <w:tcPr>
            <w:tcW w:w="4241"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①符合国家财经法规和财务管理制度以及有关专项资金管理办法的规定，计1分，1例不符合扣0.2分；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②资金的支付有完整的审批程序和手续，计1分，1例不符合扣0.2分；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③重大项目开支和大额资金使用经过单位党组集体研究决策，计1分，1例不符合扣0.2分；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④符合项目预算批复或合同规定的用途，计1分，1例不符合扣0.2分；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⑤不存在截留、挤占、挪用、虚列支出等情况，计1分，1例不符合本指标6分全扣；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⑥不存在重复申报项目、虚报冒领资金，计1分，1例不符合本指标6分全扣。</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6</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654"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信息公开性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527"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①预算单位按规定及时、准确、完整的公开预决算和绩效管理信息；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②基础数据信息和会计信息资料真实、准确、完整</w:t>
            </w:r>
            <w:r>
              <w:rPr>
                <w:rFonts w:hint="eastAsia" w:ascii="宋体" w:hAnsi="宋体" w:eastAsia="宋体" w:cs="宋体"/>
                <w:kern w:val="0"/>
                <w:sz w:val="18"/>
                <w:szCs w:val="18"/>
                <w:lang w:eastAsia="zh-CN"/>
              </w:rPr>
              <w:t>。</w:t>
            </w:r>
          </w:p>
        </w:tc>
        <w:tc>
          <w:tcPr>
            <w:tcW w:w="42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①、②各计2分，否则，酌情扣分。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4</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35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绩效自评管理情况</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527"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2020 年绩效自评工作：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①是否按要求开展绩效自评工作；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②绩效自评报告是否完整，数据是否全面、真实、准确，绩效指标是否细化量化和科学合理，是否具体，意见是否可行；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③绩效自评反映的问题是否整改到位。</w:t>
            </w:r>
          </w:p>
        </w:tc>
        <w:tc>
          <w:tcPr>
            <w:tcW w:w="42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开展了2020 年绩效自评，得 1 分；绩效自评报告全面、真实、准确，得 1 分，否则酌情扣分；绩效自评反映的问题整改到位，得1份，否则酌情扣分。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4</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70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重点绩效评价整改情况</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重点绩效评价报告中存在的问题是否进行整改，未整改原因是否进行情况说明。</w:t>
            </w:r>
          </w:p>
        </w:tc>
        <w:tc>
          <w:tcPr>
            <w:tcW w:w="4241"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对 2020 年重点绩效评价报告中发现的问题全部整改，计 1 分；2020 年反映问题部分整改，计 0.5 分；2020 年反映问题未整改且无整改情况说明，计 0 分。部门整体评价未纳入2020年重点绩效评价的，不扣分。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3</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127"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管理</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资产管理制度健全性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①是否已制定合法、合规、完整的资产管理制度；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②相关资产管理制度是否得到有效执行；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③资产配置是否编制年度预算；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④资产配置预算实际执行情况。</w:t>
            </w:r>
          </w:p>
        </w:tc>
        <w:tc>
          <w:tcPr>
            <w:tcW w:w="4241"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①已制定合法、合规、完整的资产管理制度，计0.5分，否则不得分；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②相关资产管理制度得到有效执行，计0.5分，否则，不得分；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③资产管理编制年度预算，计0.5分未编制不得分。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④资产配置预算实际执行情况未超年度预算（按程序审批除外），计0.5分，否则，不得分。</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236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资产管理安全性</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527"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①资产保存是否完整并有台账；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②资产配置是否合理，是否有闲置现象；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③资产处置是否规范；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④资产账务管理是否合规，是否账实相符；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⑤资产是否有偿使用或处置收入及时足额上缴；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⑥相关资产购置是否履行政府采购手续，外租资产是否走合规程序；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⑦资产是否定期进行盘点并有记录。</w:t>
            </w:r>
          </w:p>
        </w:tc>
        <w:tc>
          <w:tcPr>
            <w:tcW w:w="4241"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①资产配置合理符合标准、保管完整，账务管理规范，定期盘点并有台账，账实相符的，计0.5分，发现一例不符，扣0.1分，扣完为止；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②资产处置规范，计0.3分，发现一例不符，扣0.1分，扣完为止；资产无闲置现象，计0.2分，发现一例不符，扣0.1分，扣完为止；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③资产有偿使用或处置收入及时足额上缴，计0.5分，发现未上缴，本项不得分；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④资产购置履行政府采购手续，计0.3分，发现一例不符，扣0.1分，扣完为止；外租资产全部走合规程序，计0.2分，发现一例不合规，扣0.1分扣完为止。</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326" w:hRule="atLeast"/>
          <w:jc w:val="center"/>
        </w:trPr>
        <w:tc>
          <w:tcPr>
            <w:tcW w:w="720" w:type="dxa"/>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过程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（41分）</w:t>
            </w:r>
          </w:p>
        </w:tc>
        <w:tc>
          <w:tcPr>
            <w:tcW w:w="8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管理</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资产保管和使用情况</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527"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①是否建立固定资产台账，实行编码管理；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②固定资产增减变化是否建立审批程序；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③固定资产是否有闲置浪费现象。</w:t>
            </w:r>
          </w:p>
        </w:tc>
        <w:tc>
          <w:tcPr>
            <w:tcW w:w="4241"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建立了固定资产台账实行编码管理的计0.25分；建立了固定资产增减变化审批程序的计0.25分，否则不得分；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固定资产无闲置浪费现象计0.5分，发现一处扣0.1分，扣完为止。</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900" w:hRule="atLeast"/>
          <w:jc w:val="center"/>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产出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（25分）</w:t>
            </w:r>
          </w:p>
        </w:tc>
        <w:tc>
          <w:tcPr>
            <w:tcW w:w="8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履职</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产出</w:t>
            </w:r>
          </w:p>
        </w:tc>
        <w:tc>
          <w:tcPr>
            <w:tcW w:w="65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实际完成率</w:t>
            </w:r>
          </w:p>
        </w:tc>
        <w:tc>
          <w:tcPr>
            <w:tcW w:w="5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产出和效益共42分，根据单位实际情况设置指标并赋予相应分值</w:t>
            </w:r>
          </w:p>
        </w:tc>
        <w:tc>
          <w:tcPr>
            <w:tcW w:w="352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部门履行职责而实际完成工作数与计划工作数的比率，用以反映和考核部门履职工作任务目标的实现程度。部门工作受到上级通报表扬或批评情况。</w:t>
            </w:r>
          </w:p>
        </w:tc>
        <w:tc>
          <w:tcPr>
            <w:tcW w:w="424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实际完成率=（实际完成工作数/计划工作数）*100%。实际完成工作数：一定时期（年度或规划期）内部门实际完成工作任务的数量。</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762"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p>
        </w:tc>
        <w:tc>
          <w:tcPr>
            <w:tcW w:w="424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计划工作数：部门整体绩效目标确定的一定时期（年度或规划期）内预计完成工作任务的数量。</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78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完成及时性</w:t>
            </w: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部门在规定时限内及时完成的实际工作数与计划工作数的比率，用以反映和考核部门履职时效目标的实现程度。</w:t>
            </w:r>
          </w:p>
        </w:tc>
        <w:tc>
          <w:tcPr>
            <w:tcW w:w="424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完成及时率=（及时完成实际工作数/计划工作数）*100%。及时完成工作数：部门按照整体绩效目标确定的时限实际完成的工作任务数量。</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099"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质量达标率</w:t>
            </w: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达到质量标准（绩效标准值）的实际工作数与计划工作数的比率，用以反映和考核部门履职质量目标的实现程度。</w:t>
            </w:r>
          </w:p>
        </w:tc>
        <w:tc>
          <w:tcPr>
            <w:tcW w:w="424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质量达标率=（质量达标实际工作数/计划工作数）*100%。质量达标实际工作数：一定时期（年度或规划期）内部门实际完成工作数中达到部门绩效目标要求（绩效标准值）的工作任务数量。</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882"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重点工作办结率</w:t>
            </w: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部门年度重点工作实际完成数与交办或下达数的比率，用以反映部门对重点工作的办理落实程度。</w:t>
            </w:r>
          </w:p>
        </w:tc>
        <w:tc>
          <w:tcPr>
            <w:tcW w:w="4241"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重点工作办结率=（重点工作实际完成数/交办或下达数）*100%。重点工作是指党委、政府、人大、相关部门交办或下达的工作任务。</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480" w:hRule="atLeast"/>
          <w:jc w:val="center"/>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效益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（17分）</w:t>
            </w:r>
          </w:p>
        </w:tc>
        <w:tc>
          <w:tcPr>
            <w:tcW w:w="8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履职</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部门履行职责对经济发展所带来的直接或间接影响</w:t>
            </w:r>
          </w:p>
        </w:tc>
        <w:tc>
          <w:tcPr>
            <w:tcW w:w="4241"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此三项指标为设置部门整体支出绩效评价指标时必须考虑的共性要素，可根据部门实际并结合部门整体支出绩效目标设立情况有选择地进行设置，并将其细化为相应的个性化指标。</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48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部门履行职责对社会发展所带来的直接或间接影响</w:t>
            </w:r>
          </w:p>
        </w:tc>
        <w:tc>
          <w:tcPr>
            <w:tcW w:w="42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5</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480" w:hRule="atLeast"/>
          <w:jc w:val="center"/>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p>
        </w:tc>
        <w:tc>
          <w:tcPr>
            <w:tcW w:w="84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tc>
        <w:tc>
          <w:tcPr>
            <w:tcW w:w="57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部门履行职责对生态环境所带来的直接或间接影响</w:t>
            </w:r>
          </w:p>
        </w:tc>
        <w:tc>
          <w:tcPr>
            <w:tcW w:w="42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7</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089" w:hRule="atLeast"/>
          <w:jc w:val="center"/>
        </w:trPr>
        <w:tc>
          <w:tcPr>
            <w:tcW w:w="720" w:type="dxa"/>
            <w:tcBorders>
              <w:top w:val="nil"/>
              <w:left w:val="single" w:color="auto" w:sz="4" w:space="0"/>
              <w:bottom w:val="single" w:color="auto" w:sz="4" w:space="0"/>
              <w:right w:val="single" w:color="auto" w:sz="4" w:space="0"/>
            </w:tcBorders>
            <w:noWrap w:val="0"/>
            <w:vAlign w:val="center"/>
          </w:tcPr>
          <w:p>
            <w:pPr>
              <w:widowControl/>
              <w:ind w:left="-140" w:leftChars="-50" w:right="-140" w:rightChars="-50"/>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（8分）</w:t>
            </w:r>
          </w:p>
        </w:tc>
        <w:tc>
          <w:tcPr>
            <w:tcW w:w="8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社会公众或服务对象满意度</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352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社会公众或部门的服务对象对部门履职效果的满意程度</w:t>
            </w:r>
          </w:p>
        </w:tc>
        <w:tc>
          <w:tcPr>
            <w:tcW w:w="42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社会公众或服务对象是指部门履行职责而影响到的部门、群体或个人。一般采取社会调查的方式。</w:t>
            </w:r>
          </w:p>
        </w:tc>
        <w:tc>
          <w:tcPr>
            <w:tcW w:w="38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8</w:t>
            </w: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439" w:hRule="atLeast"/>
          <w:jc w:val="center"/>
        </w:trPr>
        <w:tc>
          <w:tcPr>
            <w:tcW w:w="22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合计</w:t>
            </w:r>
          </w:p>
        </w:tc>
        <w:tc>
          <w:tcPr>
            <w:tcW w:w="5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100分</w:t>
            </w:r>
          </w:p>
        </w:tc>
        <w:tc>
          <w:tcPr>
            <w:tcW w:w="35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424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38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val="en-US" w:eastAsia="zh-CN"/>
              </w:rPr>
              <w:t>100</w:t>
            </w:r>
            <w:r>
              <w:rPr>
                <w:rFonts w:hint="eastAsia" w:ascii="宋体" w:hAnsi="宋体" w:eastAsia="宋体" w:cs="宋体"/>
                <w:b/>
                <w:bCs/>
                <w:kern w:val="0"/>
                <w:sz w:val="22"/>
                <w:szCs w:val="22"/>
              </w:rPr>
              <w:t>　</w:t>
            </w:r>
          </w:p>
        </w:tc>
      </w:tr>
    </w:tbl>
    <w:p>
      <w:pPr>
        <w:adjustRightInd w:val="0"/>
        <w:snapToGrid w:val="0"/>
        <w:spacing w:line="560" w:lineRule="exact"/>
        <w:ind w:right="-36"/>
        <w:jc w:val="left"/>
        <w:rPr>
          <w:rFonts w:ascii="仿宋_GB2312"/>
          <w:kern w:val="0"/>
          <w:sz w:val="32"/>
          <w:szCs w:val="32"/>
        </w:rPr>
        <w:sectPr>
          <w:pgSz w:w="11907" w:h="16840"/>
          <w:pgMar w:top="1588" w:right="1134" w:bottom="1134" w:left="1134" w:header="851" w:footer="1247" w:gutter="0"/>
          <w:paperSrc w:first="7" w:other="7"/>
          <w:cols w:space="720" w:num="1"/>
          <w:docGrid w:linePitch="381" w:charSpace="-5735"/>
        </w:sectPr>
      </w:pPr>
    </w:p>
    <w:p>
      <w:pPr>
        <w:rPr>
          <w:rFonts w:hint="eastAsia" w:ascii="黑体" w:hAnsi="黑体" w:eastAsia="黑体"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4DB3"/>
    <w:multiLevelType w:val="singleLevel"/>
    <w:tmpl w:val="2DB14D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F6D0B"/>
    <w:rsid w:val="1B953C75"/>
    <w:rsid w:val="5E9F6D0B"/>
    <w:rsid w:val="68AD1DBC"/>
    <w:rsid w:val="7879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qFormat/>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8633</Words>
  <Characters>9404</Characters>
  <Lines>0</Lines>
  <Paragraphs>0</Paragraphs>
  <TotalTime>33</TotalTime>
  <ScaleCrop>false</ScaleCrop>
  <LinksUpToDate>false</LinksUpToDate>
  <CharactersWithSpaces>9743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2022-04-15T05:29:00Z</dcterms:created>
  <dc:creator>Administrator</dc:creator>
  <cp:lastModifiedBy>Administrator</cp:lastModifiedBy>
  <cp:lastPrinted>2022-04-20T02:22:00Z</cp:lastPrinted>
  <dcterms:modified xsi:type="dcterms:W3CDTF">2023-01-03T06:51:04Z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FBDA2F1449814475BE1CE4E8AEDA60B5</vt:lpwstr>
  </property>
</Properties>
</file>