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36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部门整体支出绩效自评报告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（封面）</w:t>
      </w:r>
    </w:p>
    <w:p>
      <w:pPr>
        <w:jc w:val="left"/>
        <w:rPr>
          <w:rFonts w:hint="eastAsia"/>
          <w:sz w:val="36"/>
          <w:szCs w:val="36"/>
        </w:rPr>
      </w:pP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单位名称：</w:t>
      </w:r>
      <w:r>
        <w:rPr>
          <w:rFonts w:hint="eastAsia" w:ascii="仿宋_GB2312" w:eastAsia="黑体"/>
          <w:sz w:val="36"/>
          <w:szCs w:val="36"/>
        </w:rPr>
        <w:t xml:space="preserve"> 长沙市天心区司法局</w:t>
      </w: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报告填报人：</w:t>
      </w:r>
      <w:r>
        <w:rPr>
          <w:rFonts w:hint="eastAsia" w:ascii="仿宋_GB2312" w:eastAsia="黑体"/>
          <w:sz w:val="36"/>
          <w:szCs w:val="36"/>
        </w:rPr>
        <w:t xml:space="preserve"> </w:t>
      </w: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办公电话：</w:t>
      </w:r>
      <w:r>
        <w:rPr>
          <w:rFonts w:hint="eastAsia" w:ascii="仿宋_GB2312" w:eastAsia="黑体"/>
          <w:sz w:val="36"/>
          <w:szCs w:val="36"/>
        </w:rPr>
        <w:t xml:space="preserve"> </w:t>
      </w:r>
    </w:p>
    <w:p>
      <w:pPr>
        <w:ind w:firstLine="540" w:firstLineChars="150"/>
        <w:jc w:val="left"/>
        <w:rPr>
          <w:rFonts w:hint="eastAsia" w:ascii="仿宋_GB2312" w:eastAsia="黑体"/>
          <w:sz w:val="36"/>
          <w:szCs w:val="36"/>
        </w:rPr>
      </w:pPr>
    </w:p>
    <w:p>
      <w:pPr>
        <w:jc w:val="left"/>
        <w:rPr>
          <w:rFonts w:hint="eastAsia" w:ascii="仿宋_GB2312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手机号码：</w:t>
      </w:r>
      <w:r>
        <w:rPr>
          <w:rFonts w:hint="eastAsia" w:ascii="仿宋_GB2312" w:eastAsia="黑体"/>
          <w:sz w:val="36"/>
          <w:szCs w:val="36"/>
        </w:rPr>
        <w:t xml:space="preserve"> 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报告日期：2022年 4 月 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1</w:t>
      </w:r>
      <w:r>
        <w:rPr>
          <w:rFonts w:hint="eastAsia" w:ascii="楷体_GB2312" w:eastAsia="楷体_GB2312"/>
          <w:sz w:val="36"/>
          <w:szCs w:val="36"/>
        </w:rPr>
        <w:t>5 日</w:t>
      </w:r>
    </w:p>
    <w:p>
      <w:pPr>
        <w:spacing w:line="800" w:lineRule="exact"/>
        <w:jc w:val="center"/>
        <w:rPr>
          <w:rFonts w:hint="eastAsia" w:ascii="楷体_GB2312" w:eastAsia="楷体_GB2312"/>
          <w:sz w:val="36"/>
          <w:szCs w:val="36"/>
        </w:rPr>
        <w:sectPr>
          <w:pgSz w:w="11907" w:h="16840"/>
          <w:pgMar w:top="2098" w:right="1474" w:bottom="1701" w:left="1588" w:header="851" w:footer="1247" w:gutter="0"/>
          <w:paperSrc w:first="7" w:other="7"/>
          <w:cols w:space="720" w:num="1"/>
          <w:docGrid w:linePitch="381" w:charSpace="-5735"/>
        </w:sectPr>
      </w:pPr>
      <w:r>
        <w:rPr>
          <w:rFonts w:hint="eastAsia" w:ascii="楷体_GB2312" w:eastAsia="楷体_GB2312"/>
          <w:sz w:val="36"/>
          <w:szCs w:val="36"/>
        </w:rPr>
        <w:t>（预算单位盖章，多页需加盖骑缝章）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widowControl/>
        <w:snapToGrid w:val="0"/>
        <w:spacing w:line="560" w:lineRule="exact"/>
        <w:ind w:firstLine="562" w:firstLineChars="200"/>
        <w:jc w:val="left"/>
        <w:rPr>
          <w:rFonts w:hint="eastAsia" w:ascii="仿宋_GB2312" w:hAnsi="仿宋" w:cs="仿宋"/>
          <w:b/>
          <w:bCs/>
          <w:sz w:val="28"/>
          <w:szCs w:val="28"/>
        </w:rPr>
      </w:pPr>
      <w:r>
        <w:rPr>
          <w:rFonts w:hint="eastAsia" w:ascii="仿宋_GB2312" w:hAnsi="仿宋" w:cs="仿宋"/>
          <w:b/>
          <w:bCs/>
          <w:sz w:val="28"/>
          <w:szCs w:val="28"/>
        </w:rPr>
        <w:t>（一）职能职责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1、承担全面依法治区重大问题的政策研究，协调有关方案提出全面依法治区中长期规划建议，负责有关重大决策部署督查工作。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、指导全区规范性文件管理有关工作，承担区政府规范性文件送审稿的合法性审查工作，承办区政府及其各部门规范性文件的“统一登记、统一编号、统一公布”工作。负责各街道报送备案的规范性文件登记、监督工作。组织开展规范性文件清理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3、承担统筹推进法治政府建设的责任。指导、监督区政府各部门、各街道依法行政工作。负责综合协调行政执法，承担推进行政执法体制改革有关工作，推进严格规范公正文明执法。承办区政府管辖的行政复议案件，办理或组织办理区政府行政应诉事项。指导、监督全区行政复议和行政应诉工作。承担区政府行政复议办公室的日常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4、负责区政府重大合同的合法性审查；指导和参与区政府重大合同履约问题的处理；指导全区政府合同管理工作。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5、承担统筹规划全区法治社会建设的责任。负责拟订法制宣传教育规划，组织实施普法宣传工作，组织对外法治宣传。推动人民参与和促进法治建设，协助做好人民监督员选任管理工作。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6、指导、管理全区社区矫正工作。会同有关部门对刑满释放人员开展过渡性安置帮教工作。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7、负责拟订公共法律服务体系建设规划并指导实施，统筹和布局城乡、区域法律服务资源。指导、监督律师、法律援助和基层法律服务管理工作。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8、负责本系统车辆和服务管理工作，指导、监督本系统财务、装备、设施、场所等保障工作。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9、规划、协调、指导法治人才队伍建设相关工作。指导、监督本系统队伍建设。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10、完成区委、区政府交办的其他任务。</w:t>
      </w:r>
    </w:p>
    <w:p>
      <w:pPr>
        <w:widowControl/>
        <w:snapToGrid w:val="0"/>
        <w:spacing w:line="560" w:lineRule="exact"/>
        <w:ind w:firstLine="562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b/>
          <w:bCs/>
          <w:sz w:val="28"/>
          <w:szCs w:val="28"/>
        </w:rPr>
        <w:t>（二）机构设置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rFonts w:ascii="仿宋_GB2312" w:hAnsi="仿宋" w:cs="仿宋"/>
          <w:sz w:val="28"/>
          <w:szCs w:val="28"/>
        </w:rPr>
        <w:t>本部门由 </w:t>
      </w:r>
      <w:r>
        <w:rPr>
          <w:rFonts w:hint="eastAsia" w:ascii="仿宋_GB2312" w:hAnsi="仿宋" w:cs="仿宋"/>
          <w:sz w:val="28"/>
          <w:szCs w:val="28"/>
        </w:rPr>
        <w:t>1</w:t>
      </w:r>
      <w:r>
        <w:rPr>
          <w:rFonts w:ascii="仿宋_GB2312" w:hAnsi="仿宋" w:cs="仿宋"/>
          <w:sz w:val="28"/>
          <w:szCs w:val="28"/>
        </w:rPr>
        <w:t>个行政单位</w:t>
      </w:r>
      <w:r>
        <w:rPr>
          <w:rFonts w:hint="eastAsia" w:ascii="仿宋_GB2312" w:hAnsi="仿宋" w:cs="仿宋"/>
          <w:sz w:val="28"/>
          <w:szCs w:val="28"/>
        </w:rPr>
        <w:t>、7个内设科室及14</w:t>
      </w:r>
      <w:r>
        <w:rPr>
          <w:rFonts w:ascii="仿宋_GB2312" w:hAnsi="仿宋" w:cs="仿宋"/>
          <w:sz w:val="28"/>
          <w:szCs w:val="28"/>
        </w:rPr>
        <w:t>个</w:t>
      </w:r>
      <w:r>
        <w:rPr>
          <w:rFonts w:hint="eastAsia" w:ascii="仿宋_GB2312" w:hAnsi="仿宋" w:cs="仿宋"/>
          <w:sz w:val="28"/>
          <w:szCs w:val="28"/>
        </w:rPr>
        <w:t>下设</w:t>
      </w:r>
      <w:r>
        <w:rPr>
          <w:rFonts w:ascii="仿宋_GB2312" w:hAnsi="仿宋" w:cs="仿宋"/>
          <w:sz w:val="28"/>
          <w:szCs w:val="28"/>
        </w:rPr>
        <w:t>机构</w:t>
      </w:r>
      <w:r>
        <w:rPr>
          <w:rFonts w:hint="eastAsia" w:ascii="仿宋_GB2312" w:hAnsi="仿宋" w:cs="仿宋"/>
          <w:sz w:val="28"/>
          <w:szCs w:val="28"/>
        </w:rPr>
        <w:t>组成</w:t>
      </w:r>
      <w:r>
        <w:rPr>
          <w:rFonts w:ascii="仿宋_GB2312" w:hAnsi="仿宋" w:cs="仿宋"/>
          <w:sz w:val="28"/>
          <w:szCs w:val="28"/>
        </w:rPr>
        <w:t>。</w:t>
      </w:r>
      <w:r>
        <w:rPr>
          <w:rFonts w:hint="eastAsia" w:ascii="仿宋_GB2312" w:hAnsi="仿宋" w:cs="仿宋"/>
          <w:sz w:val="28"/>
          <w:szCs w:val="28"/>
        </w:rPr>
        <w:t>行政单位具体为：长沙市天心区司法局；内设科室具体为：办公室、执法监督与法制审查科、行政复议与应诉科、社区矫正管理科、普法与依法治理科、公共法律服务管理科、人民参与和促进法治科；下设机构具体为：坡子街司法所、裕南街司法所、金盆岭司法所、新开铺司法所、桂花坪司法所、先锋司法所、暮云司法所、城南路司法所、赤岭路司法所、青园司法所、文源司法所、黑石铺司法所、大托铺司法所、南托司法所。</w:t>
      </w:r>
      <w:r>
        <w:rPr>
          <w:rFonts w:ascii="仿宋_GB2312" w:eastAsia="仿宋_GB2312"/>
          <w:sz w:val="28"/>
          <w:szCs w:val="28"/>
          <w:highlight w:val="none"/>
        </w:rPr>
        <w:t>本部门编制数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45</w:t>
      </w:r>
      <w:r>
        <w:rPr>
          <w:rFonts w:ascii="仿宋_GB2312" w:eastAsia="仿宋_GB2312"/>
          <w:sz w:val="28"/>
          <w:szCs w:val="28"/>
          <w:highlight w:val="none"/>
        </w:rPr>
        <w:t>人,在职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在编</w:t>
      </w:r>
      <w:r>
        <w:rPr>
          <w:rFonts w:ascii="仿宋_GB2312" w:eastAsia="仿宋_GB2312"/>
          <w:sz w:val="28"/>
          <w:szCs w:val="28"/>
          <w:highlight w:val="none"/>
        </w:rPr>
        <w:t>人数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40</w:t>
      </w:r>
      <w:r>
        <w:rPr>
          <w:rFonts w:ascii="仿宋_GB2312" w:eastAsia="仿宋_GB2312"/>
          <w:sz w:val="28"/>
          <w:szCs w:val="28"/>
          <w:highlight w:val="none"/>
        </w:rPr>
        <w:t>人,在岗人数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40</w:t>
      </w:r>
      <w:r>
        <w:rPr>
          <w:rFonts w:ascii="仿宋_GB2312" w:eastAsia="仿宋_GB2312"/>
          <w:sz w:val="28"/>
          <w:szCs w:val="28"/>
          <w:highlight w:val="none"/>
        </w:rPr>
        <w:t>人</w:t>
      </w:r>
      <w:r>
        <w:rPr>
          <w:rFonts w:hint="default" w:ascii="仿宋_GB2312" w:eastAsia="仿宋_GB2312"/>
          <w:sz w:val="28"/>
          <w:szCs w:val="28"/>
          <w:highlight w:val="none"/>
          <w:lang w:eastAsia="zh-CN"/>
        </w:rPr>
        <w:t>；</w:t>
      </w:r>
      <w:r>
        <w:rPr>
          <w:rFonts w:ascii="仿宋_GB2312" w:eastAsia="仿宋_GB2312"/>
          <w:sz w:val="28"/>
          <w:szCs w:val="28"/>
          <w:highlight w:val="none"/>
        </w:rPr>
        <w:t>退休人数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ascii="仿宋_GB2312" w:eastAsia="仿宋_GB2312"/>
          <w:sz w:val="28"/>
          <w:szCs w:val="28"/>
          <w:highlight w:val="none"/>
        </w:rPr>
        <w:t>人；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另有</w:t>
      </w:r>
      <w:r>
        <w:rPr>
          <w:rFonts w:ascii="仿宋_GB2312" w:eastAsia="仿宋_GB2312"/>
          <w:sz w:val="28"/>
          <w:szCs w:val="28"/>
          <w:highlight w:val="none"/>
        </w:rPr>
        <w:t>编外长期聘用人员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60</w:t>
      </w:r>
      <w:r>
        <w:rPr>
          <w:rFonts w:ascii="仿宋_GB2312" w:eastAsia="仿宋_GB2312"/>
          <w:sz w:val="28"/>
          <w:szCs w:val="28"/>
          <w:highlight w:val="none"/>
        </w:rPr>
        <w:t>人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，含</w:t>
      </w:r>
      <w:r>
        <w:rPr>
          <w:rFonts w:hint="eastAsia" w:ascii="仿宋_GB2312" w:eastAsia="仿宋_GB2312"/>
          <w:sz w:val="28"/>
          <w:szCs w:val="28"/>
          <w:highlight w:val="none"/>
        </w:rPr>
        <w:t>政府雇员2</w:t>
      </w:r>
      <w:r>
        <w:rPr>
          <w:rFonts w:ascii="仿宋_GB2312" w:eastAsia="仿宋_GB2312"/>
          <w:sz w:val="28"/>
          <w:szCs w:val="28"/>
          <w:highlight w:val="none"/>
        </w:rPr>
        <w:t>人。</w:t>
      </w:r>
    </w:p>
    <w:p>
      <w:pPr>
        <w:pStyle w:val="9"/>
        <w:widowControl/>
        <w:spacing w:line="54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一般公共预算支出情况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（一）基本支出：</w:t>
      </w:r>
      <w:r>
        <w:rPr>
          <w:rFonts w:hint="eastAsia" w:ascii="仿宋_GB2312" w:hAnsi="仿宋" w:cs="仿宋"/>
          <w:sz w:val="28"/>
          <w:szCs w:val="28"/>
        </w:rPr>
        <w:t>基本支出共899.98万元，其中工资福利支出730.52万元，商品和服务支出59.93万元，对个人和家庭的补助109.43万元，资本性支出0.1万元。其中公务用车购置及维护费0.74万元，公务接待费0.35万元。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（二）项目支出。项目支出共920.54万元，</w:t>
      </w:r>
      <w:r>
        <w:rPr>
          <w:rFonts w:hint="eastAsia"/>
          <w:sz w:val="28"/>
          <w:szCs w:val="28"/>
        </w:rPr>
        <w:t>一是业务工作经费支出670.74万元；二是专项经费294.80万元，其中党建经费及离退休人员经费3.04万元、法律服务专项经费96.81万元、法律顾问专项经费30万元、法律援助专项经费119.35万元。</w:t>
      </w:r>
    </w:p>
    <w:p>
      <w:pPr>
        <w:pStyle w:val="9"/>
        <w:widowControl/>
        <w:spacing w:line="540" w:lineRule="exact"/>
        <w:ind w:left="640" w:firstLine="0" w:firstLineChars="0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三、资产管理情况</w:t>
      </w:r>
    </w:p>
    <w:p>
      <w:pPr>
        <w:pStyle w:val="9"/>
        <w:widowControl/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本单位完善财务管理制度，已于2021年6月出台天心区司法局政府采购内部控制制度，不断推进资产管理规范化，严格履行审批程序，加强资产管理，及时登记入账，确保账实相符。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</w:rPr>
        <w:t>固定资产的使用进行了严格的管理，其中房屋在人均占有办公室使用面积上均符合要求，未存在超标的情况，人均占用通用设备数量上做了更加的优化分配，使固定资产能更好的发挥作用，将以前闲置的资产进行了充分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28"/>
          <w:szCs w:val="28"/>
        </w:rPr>
        <w:t>利用，增加固定资产的使用效率。本单位2021年新增固定资产 598286.00 元，无形资产66995.00元，处置固定资产0元。</w:t>
      </w:r>
    </w:p>
    <w:p>
      <w:pPr>
        <w:pStyle w:val="9"/>
        <w:widowControl/>
        <w:spacing w:line="540" w:lineRule="exact"/>
        <w:ind w:left="640" w:firstLine="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四、政府性基金预算支出情况 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/>
          <w:sz w:val="28"/>
          <w:szCs w:val="28"/>
        </w:rPr>
        <w:t>本单位未安排政府性基金预算支出。</w:t>
      </w:r>
      <w:bookmarkStart w:id="2" w:name="_GoBack"/>
      <w:bookmarkEnd w:id="2"/>
    </w:p>
    <w:p>
      <w:pPr>
        <w:pStyle w:val="9"/>
        <w:widowControl/>
        <w:spacing w:line="540" w:lineRule="exact"/>
        <w:ind w:left="640" w:firstLine="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五、国有资本经营预算支出情况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/>
          <w:sz w:val="28"/>
          <w:szCs w:val="28"/>
        </w:rPr>
        <w:t>本单位未安排国有资本经营预算支出。</w:t>
      </w:r>
    </w:p>
    <w:p>
      <w:pPr>
        <w:pStyle w:val="9"/>
        <w:widowControl/>
        <w:spacing w:line="540" w:lineRule="exact"/>
        <w:ind w:firstLine="64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六、社会保险基金预算支出情况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/>
          <w:sz w:val="28"/>
          <w:szCs w:val="28"/>
        </w:rPr>
        <w:t>本单位未安排社会保险基金预算支出。</w:t>
      </w:r>
    </w:p>
    <w:p>
      <w:pPr>
        <w:pStyle w:val="9"/>
        <w:widowControl/>
        <w:spacing w:line="540" w:lineRule="exact"/>
        <w:ind w:firstLine="64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七、部门整体支出绩效情况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（一）绩效目标设置情况。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1、按照《关于进一步加强和改进行政应诉工作实施意见》（天政办发[2018]8号）文件要求，做好行政应诉与行政应复议工作。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2、做好行政执法案卷评查工作，推进合法、规范、公正、文明执法。做好规范性文件管理工作。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3、做好公共法律服务示范城区创建、法律服务管理和法律服务机构年度检查审核工作，按规定完成法律机构的年检注册、认真做好法律援助工作。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4、加强对基层司法所的建设、指导和管理工作，积极推进省级模范化，规范化司法所建设，做好人民调解工作，调解率达98%。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5、深入实施“七五”普法规划，认真抓好重点普法对象的法治宣传。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仿宋_GB2312" w:hAnsi="仿宋" w:cs="仿宋"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6、做好社区矫正工作，积极推进天心区智慧社区矫正建设，不断完善社区矫正体系建设。做好刑满释放人员的安置帮教工作，帮教率达到95%，安置率达到85%。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楷体_GB2312" w:hAnsi="楷体_GB2312" w:eastAsia="楷体_GB2312" w:cs="楷体_GB2312"/>
          <w:color w:val="FF0000"/>
          <w:sz w:val="28"/>
          <w:szCs w:val="28"/>
        </w:rPr>
      </w:pPr>
      <w:r>
        <w:rPr>
          <w:rFonts w:hint="eastAsia" w:ascii="仿宋_GB2312" w:hAnsi="仿宋" w:cs="仿宋"/>
          <w:color w:val="auto"/>
          <w:sz w:val="28"/>
          <w:szCs w:val="28"/>
        </w:rPr>
        <w:t>7、贯彻区委、区政府关于法治政府建设有关文件精神，按照司法行政职能，积极服务法治政府建设。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28"/>
          <w:szCs w:val="28"/>
        </w:rPr>
        <w:t>坚持规范化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打造</w:t>
      </w:r>
      <w:r>
        <w:rPr>
          <w:rFonts w:hint="eastAsia" w:ascii="仿宋_GB2312" w:eastAsia="仿宋_GB2312"/>
          <w:color w:val="auto"/>
          <w:sz w:val="28"/>
          <w:szCs w:val="28"/>
        </w:rPr>
        <w:t>，社区矫正工作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成绩斐然</w:t>
      </w:r>
      <w:r>
        <w:rPr>
          <w:rFonts w:hint="eastAsia" w:ascii="仿宋_GB2312" w:eastAsia="仿宋_GB2312"/>
          <w:color w:val="auto"/>
          <w:sz w:val="28"/>
          <w:szCs w:val="28"/>
        </w:rPr>
        <w:t>。大力实施新社区矫正法和湖南省社区矫正实施细则，建立健全社区矫正委员会工作机制，规范工作流程，推进“智慧矫正”建设通过省厅验收，强化监管措施，建立社区矫正对象网格化管理模式，引进社会力量参与教育帮扶，提升矫治效果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2021年</w:t>
      </w:r>
      <w:r>
        <w:rPr>
          <w:rFonts w:hint="eastAsia" w:ascii="仿宋_GB2312" w:eastAsia="仿宋_GB2312"/>
          <w:color w:val="auto"/>
          <w:sz w:val="28"/>
          <w:szCs w:val="28"/>
        </w:rPr>
        <w:t>，天心区社区矫正对象在册311人，其中管制1人，缓刑300人，假释1人，暂予监外执行9人。在册的社区矫正对象未发生因监管不到位而导致脱漏管。列管刑释人员669人衔接率和帮教率均达到100%。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28"/>
          <w:szCs w:val="28"/>
        </w:rPr>
        <w:t>坚持发展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color w:val="auto"/>
          <w:sz w:val="28"/>
          <w:szCs w:val="28"/>
        </w:rPr>
        <w:t>枫桥经验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color w:val="auto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矛盾纠纷</w:t>
      </w:r>
      <w:r>
        <w:rPr>
          <w:rFonts w:hint="eastAsia" w:ascii="仿宋_GB2312" w:eastAsia="仿宋_GB2312"/>
          <w:color w:val="auto"/>
          <w:sz w:val="28"/>
          <w:szCs w:val="28"/>
        </w:rPr>
        <w:t>化解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卓有</w:t>
      </w:r>
      <w:r>
        <w:rPr>
          <w:rFonts w:hint="eastAsia" w:ascii="仿宋_GB2312" w:eastAsia="仿宋_GB2312"/>
          <w:color w:val="auto"/>
          <w:sz w:val="28"/>
          <w:szCs w:val="28"/>
        </w:rPr>
        <w:t>成效。整合全区资源，形成近400个调解网格，全面建成“区-街-社区-楼栋”四级联动化解矛盾纠纷工作体系；深入开展“坚持发展‘枫桥经验’实现矛盾不上交三年行动”“调处矛盾护稳定、献礼建党100周年”专题调解活动。全力支持诉源治理工作，在南托建立全市首个边界纠纷联调工作室；2021年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全区共调处各类矛盾纠纷1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210</w:t>
      </w:r>
      <w:r>
        <w:rPr>
          <w:rFonts w:hint="eastAsia" w:ascii="仿宋_GB2312" w:eastAsia="仿宋_GB2312"/>
          <w:color w:val="auto"/>
          <w:sz w:val="28"/>
          <w:szCs w:val="28"/>
        </w:rPr>
        <w:t>起，调解成功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1210</w:t>
      </w:r>
      <w:r>
        <w:rPr>
          <w:rFonts w:hint="eastAsia" w:ascii="仿宋_GB2312" w:eastAsia="仿宋_GB2312"/>
          <w:color w:val="auto"/>
          <w:sz w:val="28"/>
          <w:szCs w:val="28"/>
        </w:rPr>
        <w:t>起，调处率达100%、成功率达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28"/>
          <w:szCs w:val="28"/>
        </w:rPr>
        <w:t>%。其中疑难复杂案件101起，协议涉及金额2192.45万元，协议履行率达100%。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28"/>
          <w:szCs w:val="28"/>
        </w:rPr>
        <w:t>坚持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防范于未然</w:t>
      </w:r>
      <w:r>
        <w:rPr>
          <w:rFonts w:hint="eastAsia" w:ascii="仿宋_GB2312" w:eastAsia="仿宋_GB2312"/>
          <w:color w:val="auto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确保</w:t>
      </w:r>
      <w:r>
        <w:rPr>
          <w:rFonts w:hint="eastAsia" w:ascii="仿宋_GB2312" w:eastAsia="仿宋_GB2312"/>
          <w:color w:val="auto"/>
          <w:sz w:val="28"/>
          <w:szCs w:val="28"/>
        </w:rPr>
        <w:t>社会和谐稳定。完善矛盾纠纷排查机制，预警机制。围绕春节、建党百年、省市区党代会等重要时间节点，加大矛盾纠纷排查、特殊人群走访力度，确保重要节点矛盾纠纷不激化，社区矫正对象零脱管。各级人民调解组织共开展纠纷排查1068次，排查预防纠纷317起，确保小纠纷不出社区、大纠纷不出街道、重特大纠纷不出区，无重大防范民转刑案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eastAsia="仿宋_GB2312"/>
          <w:color w:val="auto"/>
          <w:sz w:val="28"/>
          <w:szCs w:val="28"/>
          <w:lang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进一步夯实基层公共法律服务站点建设，提升黑石铺、金盆岭、裕南街、文源、先锋、新开铺、坡子街等街道公共法律服务质效，充分发挥全区社区（村）法律顾问作用，推进公共法律服务网格化、家庭化和社会化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深入推进公共法律服务体系建设，切实扩大法律援助覆盖面，降低法律援助门槛，提高法律援助质量，让法律援助更加有效的维护困难群众和弱势群体的合法权益。202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年，全年受理法律援助案件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576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件，结案归档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382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件；天心区公共法律服务中心、驻法院值班律师接待咨询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9852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人次，为犯罪嫌疑人提供认罪认罚法律帮助1105人次；积极开展法律援助案件质量评查活动，法律援助案卷审核合格率100%。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5、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通过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制发《2021年全区普法依法治理工作要点》《2021年天心区落实国家机关“谁执法谁普法”责任制工作要点》，公示“谁执法谁普法”责任清单，开展评议活动，形成大普法格局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，推动法治思维入脑入心，崇法尚法风气日益浓厚。</w:t>
      </w:r>
      <w:r>
        <w:rPr>
          <w:rFonts w:hint="eastAsia" w:ascii="仿宋_GB2312" w:eastAsia="仿宋_GB2312"/>
          <w:color w:val="auto"/>
          <w:sz w:val="28"/>
          <w:szCs w:val="28"/>
        </w:rPr>
        <w:t>抓好领导干部、青少年、村（社区）工作人员等重点对象普法宣传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。常态化开展专题普法活动，开展“送法下乡”、国家安全教育日、农村法治宣传月、反电信诈骗宣传月、青少年法治宣传周、宪法宣传周等主题宣传活动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依托“个十百千万”工程，举办集中法治宣传活动270余场次，受众群众达10余万人次。天心区首家民法典公园正式开园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小丽普法工作室荣获省“十佳普法宣传公益集体”称号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推动长株潭区域法律资源融合，举办首届长株潭边界地区农村法治宣传活动。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同时，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积极参与省市普法宣传活动，组织全区107名法律明白人参与长沙市“快乐学法”乡村现场赛并荣获优秀组织奖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健全依法决策机制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推动政府治理规范化程序化法治化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制定出台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《天心区重大行政决策程序实施办法》。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落实合法性审查机制，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累计出具法律意见324份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。加强规范性文件全过程监管，经我局合法性审查、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制发区级规范性文件13件，为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全区经济社会发展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提供制度保障。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行政执法监督，以落实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行政执法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三项制度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为主要内容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，组织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开展天心区202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1年度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行政执法案卷评查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联合区委党校组织全区600余名行政执法人员开展年度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执法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培训，举办首届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法制人员培训班，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以评促改，以训培优，有效推进我区执法水平普遍提升。指导市场监管、城市管理、住房和城乡建设、税务等领域建立柔性执法机制，搭建良好营商法治环境。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落实行政复议体制改革要求，推动制发《天心区</w:t>
      </w:r>
      <w:bookmarkStart w:id="0" w:name="_Hlk9042033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行政复议体制改革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实施方案》</w:t>
      </w:r>
      <w:bookmarkStart w:id="1" w:name="_Hlk9042040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整合我区行政复议职责</w:t>
      </w:r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，实现行政复议工作跨越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式发展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2021年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我局共承办行政复议、应诉（应复议）案件218件，已办结165件案件均未出现败诉（复议）情形，有效维护区政府合法权益，展示了法治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形象。服务中心大局，不断护航项目建设。配合各项目指挥部审查提请区政府下达房屋征收补偿决定14户、国有土地上棚改项目各类征拆文书74份，有效防范征拆工作中各类法律风险。</w:t>
      </w:r>
    </w:p>
    <w:p>
      <w:pPr>
        <w:pStyle w:val="9"/>
        <w:widowControl/>
        <w:spacing w:line="54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</w:t>
      </w:r>
      <w:r>
        <w:rPr>
          <w:rFonts w:eastAsia="黑体"/>
          <w:sz w:val="32"/>
          <w:szCs w:val="32"/>
        </w:rPr>
        <w:t>存在的主要问题及</w:t>
      </w:r>
      <w:r>
        <w:rPr>
          <w:rFonts w:hint="eastAsia" w:eastAsia="黑体"/>
          <w:sz w:val="32"/>
          <w:szCs w:val="32"/>
        </w:rPr>
        <w:t>原因分析</w:t>
      </w:r>
    </w:p>
    <w:p>
      <w:pPr>
        <w:widowControl/>
        <w:spacing w:line="540" w:lineRule="exact"/>
        <w:ind w:firstLine="640" w:firstLineChars="200"/>
        <w:jc w:val="left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  <w:r>
        <w:rPr>
          <w:color w:val="000000"/>
          <w:sz w:val="32"/>
          <w:szCs w:val="32"/>
        </w:rPr>
        <w:t>。</w:t>
      </w:r>
    </w:p>
    <w:p>
      <w:pPr>
        <w:pStyle w:val="9"/>
        <w:widowControl/>
        <w:spacing w:line="540" w:lineRule="exact"/>
        <w:ind w:firstLine="64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九、下一步改进措施</w:t>
      </w:r>
    </w:p>
    <w:p>
      <w:pPr>
        <w:widowControl/>
        <w:spacing w:line="54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pStyle w:val="9"/>
        <w:widowControl/>
        <w:spacing w:line="540" w:lineRule="exact"/>
        <w:ind w:left="640" w:firstLine="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十、其他</w:t>
      </w:r>
      <w:r>
        <w:rPr>
          <w:rFonts w:hint="eastAsia" w:eastAsia="黑体"/>
          <w:sz w:val="32"/>
          <w:szCs w:val="32"/>
        </w:rPr>
        <w:t>绩效自评工作情况说明</w:t>
      </w:r>
    </w:p>
    <w:p>
      <w:pPr>
        <w:widowControl/>
        <w:spacing w:line="600" w:lineRule="exact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按照相关要求公开。</w:t>
      </w:r>
    </w:p>
    <w:p>
      <w:pPr>
        <w:widowControl/>
        <w:spacing w:line="540" w:lineRule="exact"/>
        <w:ind w:firstLine="645"/>
        <w:jc w:val="left"/>
        <w:rPr>
          <w:rFonts w:hint="eastAsia" w:ascii="仿宋_GB2312" w:hAnsi="仿宋_GB2312" w:cs="仿宋_GB2312"/>
          <w:sz w:val="32"/>
          <w:szCs w:val="32"/>
        </w:rPr>
      </w:pPr>
    </w:p>
    <w:p>
      <w:pPr>
        <w:widowControl/>
        <w:spacing w:line="540" w:lineRule="exact"/>
        <w:ind w:firstLine="645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附件：1.部门整体支出绩效评价基础数据表</w:t>
      </w:r>
    </w:p>
    <w:p>
      <w:pPr>
        <w:widowControl/>
        <w:spacing w:line="540" w:lineRule="exact"/>
        <w:ind w:firstLine="1400" w:firstLineChars="500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2.部门整体支出绩效自评表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59E"/>
    <w:rsid w:val="0020276A"/>
    <w:rsid w:val="00B929B1"/>
    <w:rsid w:val="00D3259E"/>
    <w:rsid w:val="03AA07D7"/>
    <w:rsid w:val="1E501A82"/>
    <w:rsid w:val="22291E15"/>
    <w:rsid w:val="784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399</Words>
  <Characters>2276</Characters>
  <Lines>18</Lines>
  <Paragraphs>5</Paragraphs>
  <TotalTime>4</TotalTime>
  <ScaleCrop>false</ScaleCrop>
  <LinksUpToDate>false</LinksUpToDate>
  <CharactersWithSpaces>2670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2022-04-05T05:25:00Z</dcterms:created>
  <dc:creator>lenovo</dc:creator>
  <cp:lastModifiedBy>keystone</cp:lastModifiedBy>
  <cp:lastPrinted>2022-04-15T02:42:00Z</cp:lastPrinted>
  <dcterms:modified xsi:type="dcterms:W3CDTF">2022-10-26T07:23:57Z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