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36" w:rightChars="0"/>
        <w:jc w:val="left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/>
          <w:kern w:val="0"/>
          <w:sz w:val="32"/>
          <w:szCs w:val="32"/>
          <w:lang w:val="en-US" w:eastAsia="zh-CN"/>
        </w:rPr>
        <w:t>10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6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2019年度部门整体支出</w:t>
      </w:r>
    </w:p>
    <w:p>
      <w:pPr>
        <w:pStyle w:val="6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绩效评价报告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pStyle w:val="5"/>
        <w:widowControl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部门、单位基本情况</w:t>
      </w:r>
    </w:p>
    <w:p>
      <w:pPr>
        <w:spacing w:line="588" w:lineRule="exact"/>
        <w:ind w:firstLine="643"/>
        <w:outlineLvl w:val="0"/>
        <w:rPr>
          <w:rFonts w:ascii="楷体_GB2312" w:hAnsi="楷体_GB2312" w:eastAsia="楷体_GB2312" w:cs="仿宋_GB2312"/>
          <w:b/>
          <w:kern w:val="1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仿宋_GB2312"/>
          <w:b/>
          <w:kern w:val="1"/>
          <w:sz w:val="32"/>
          <w:szCs w:val="32"/>
          <w:highlight w:val="none"/>
        </w:rPr>
        <w:t>（一）主要职能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新一轮机构改革后，根据天办【</w:t>
      </w:r>
      <w:r>
        <w:rPr>
          <w:rFonts w:ascii="仿宋_GB2312" w:eastAsia="仿宋_GB2312"/>
          <w:sz w:val="32"/>
          <w:szCs w:val="32"/>
          <w:highlight w:val="none"/>
        </w:rPr>
        <w:t>201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</w:rPr>
        <w:t>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highlight w:val="none"/>
        </w:rPr>
        <w:t>号文件精神的规定，天心区商务局部分职能职责进行了调整，调整后部门职能职责如下：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贯彻落实国家、省、市有关国内外贸易、商贸服务业、开放型经济、境内外经济合作和招商引资、物流的发展战略、方针和政策；拟订全区相应的中长期发展规划以及年度计划、政策措施、实施办法并组织实施。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负责协调推进全区流通产业结构调整，提出流通体制改革建议，拟订促进中小商贸企业发展的政策措施，促进全区商贸、物流产业及电子商务的发展。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协调、规范全区商贸、物流行业秩序工作，规范商贸企业交易行为，维护市场秩序和消费安全。推动商务领域信用建设，指导商业信用销售。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拟订全区市场运行和调控的政策措施，监测分析市场运行和商品供求状况，进行预测预警和信息引导。协助做好重要消费品市场的调控和重要生产资料流通管理工作。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贯彻落实国家、省、市商品流通和商贸服务业的法律法规、规章、实施细则和市场准则。承担权限范围内再生资源回收、直销企业服务网点等的服务、管理工作。参与提出引导国内外资金投向市场体系建设的政策建议，协助城市商业网点规划、促进城乡市场发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贯彻执行国家、省、市关于对外贸易和贸易公平相关方针、政策和措施，拟定全区对外贸易发展规划、实施办法并组织实施。统筹区域经济合作，指导承接产业转移，发展加工贸易工作。负责做好对外贸易备案登记和跟踪服务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负责全区对外经济技术合作工作。指导企业贯彻执行国家、省、市有关对外经济合作的政策规章、管理办法。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负责组织参与国家、省、市举办的商贸、招商活动，统筹全区商贸、招商活动。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trike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全区外商投资促进工作，跟踪、调度重点招商项目并督促落实。为外商及其投资企业提供政策法规、业务咨询服务，协调外资企业投诉及有关经营、发展环境问题。负责权限内外资企业联合年报工作。负责区政府招商顾问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贯彻落实国家、省、市有关服务贸易的发展战略、方针和政策；牵头开展服务外包工作，会同有关部门制定并组织实施相关政策措施，推动服务外包平台建设。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贯彻落实国家、省、市有关物流发展的政策措施，牵头负责全区现代物流产业发展的相关工作。负责物流产业项目的引进和培育工作。组织物流专项资金的申报工作。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贯彻落实电子商务产业发展的规划、政策并组织实施。指导全区电子商务建设工作，促进全区电子商务健康发展。负责跨境电子商务和国际服务合作，为跨境电商提供便利化服务。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负责全区商贸、物流与开放型经济的统计和综合分析，提供信息咨询服务。依法依规履行安全生产行业管理职能。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关于物流工作的职责分工。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区商务局负责全区物流产业发展工作，牵头组织拟订全区物流业发展战略规划、中长期发展规划和政策措施并组织实施；协调推进跨境电商产业发展工作，负责为跨境电商产业发展提供通关便利化服务；牵头指导全区企业物流的服务外包工作，推动企业内部物流社会化。负责商贸企业物流的服务外包指导工作。</w:t>
      </w:r>
    </w:p>
    <w:p>
      <w:pPr>
        <w:spacing w:line="588" w:lineRule="exact"/>
        <w:ind w:firstLine="643"/>
        <w:outlineLvl w:val="0"/>
        <w:rPr>
          <w:rFonts w:ascii="楷体_GB2312" w:hAnsi="楷体_GB2312" w:eastAsia="楷体_GB2312" w:cs="仿宋_GB2312"/>
          <w:b/>
          <w:kern w:val="1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仿宋_GB2312"/>
          <w:b/>
          <w:kern w:val="1"/>
          <w:sz w:val="32"/>
          <w:szCs w:val="32"/>
          <w:highlight w:val="none"/>
        </w:rPr>
        <w:t>（二）机构情况</w:t>
      </w:r>
    </w:p>
    <w:p>
      <w:pPr>
        <w:spacing w:line="588" w:lineRule="exact"/>
        <w:ind w:firstLine="643"/>
        <w:outlineLvl w:val="0"/>
        <w:rPr>
          <w:rFonts w:hint="default" w:ascii="楷体_GB2312" w:hAnsi="楷体_GB2312" w:eastAsia="楷体_GB2312" w:cs="仿宋_GB2312"/>
          <w:b/>
          <w:kern w:val="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cs="仿宋"/>
          <w:sz w:val="32"/>
          <w:szCs w:val="32"/>
        </w:rPr>
        <w:t>2019年部门决算编报范围包括局机关及二级机构投资服务中心。收入包括财政拨款（补助）收入、其他收入；支出包括局机关及局属二级机构的基本运行的经费、归口管理的招商引资、农贸市场提质改造等专项经费及其他支出。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仿宋_GB2312"/>
          <w:b/>
          <w:kern w:val="1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5"/>
        <w:widowControl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pStyle w:val="5"/>
        <w:widowControl/>
        <w:numPr>
          <w:ilvl w:val="0"/>
          <w:numId w:val="2"/>
        </w:numPr>
        <w:spacing w:line="60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基本支出情况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2019年</w:t>
      </w:r>
      <w:r>
        <w:rPr>
          <w:rFonts w:hint="eastAsia" w:ascii="仿宋_GB2312" w:hAnsi="仿宋" w:cs="仿宋"/>
          <w:sz w:val="32"/>
          <w:szCs w:val="32"/>
          <w:lang w:eastAsia="zh-CN"/>
        </w:rPr>
        <w:t>总支出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1720.47</w:t>
      </w:r>
      <w:r>
        <w:rPr>
          <w:rFonts w:hint="eastAsia" w:ascii="仿宋_GB2312" w:hAnsi="仿宋" w:cs="仿宋"/>
          <w:sz w:val="32"/>
          <w:szCs w:val="32"/>
        </w:rPr>
        <w:t>万元，其中，</w:t>
      </w:r>
      <w:r>
        <w:rPr>
          <w:rFonts w:hint="eastAsia" w:ascii="仿宋_GB2312" w:hAnsi="仿宋" w:cs="仿宋"/>
          <w:sz w:val="32"/>
          <w:szCs w:val="32"/>
          <w:lang w:eastAsia="zh-CN"/>
        </w:rPr>
        <w:t>基本支出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637.73</w:t>
      </w:r>
      <w:r>
        <w:rPr>
          <w:rFonts w:hint="eastAsia" w:ascii="仿宋_GB2312" w:hAnsi="仿宋" w:cs="仿宋"/>
          <w:sz w:val="32"/>
          <w:szCs w:val="32"/>
        </w:rPr>
        <w:t>万元，主要包括：基本工资、津贴补贴、奖金、社会保障缴费、其他工资福利支出、离休费、退休费、抚恤金、奖励金、住房公积金、其他对个人和家庭的补助支出；公用经费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76.45</w:t>
      </w:r>
      <w:r>
        <w:rPr>
          <w:rFonts w:hint="eastAsia" w:ascii="仿宋_GB2312" w:hAnsi="仿宋" w:cs="仿宋"/>
          <w:sz w:val="32"/>
          <w:szCs w:val="32"/>
        </w:rPr>
        <w:t>万元，主要包括：办公费、印刷费、邮电费、差旅费、维修（护）费、会议费、培训费、公务接待费、劳务费、公务用车运行维护费、其他交通费用、其他商品和服务支出。</w:t>
      </w:r>
    </w:p>
    <w:p>
      <w:pPr>
        <w:pStyle w:val="5"/>
        <w:widowControl/>
        <w:numPr>
          <w:ilvl w:val="0"/>
          <w:numId w:val="2"/>
        </w:numPr>
        <w:spacing w:line="600" w:lineRule="exact"/>
        <w:ind w:firstLineChars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项目支出情况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2019年决算数为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1082.74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万元，是指单位为完成特定行政工作任务或事业发展目标而发生的支出。其中，一般行政管理事务支出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37.48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万元，主要用于党建经费、各部门工作经费等方面；招商引资支出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704.47</w:t>
      </w:r>
      <w:bookmarkStart w:id="0" w:name="_GoBack"/>
      <w:bookmarkEnd w:id="0"/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万元，主要用于招商引资、肉菜追溯体系建设维护等。</w:t>
      </w:r>
    </w:p>
    <w:p>
      <w:pPr>
        <w:widowControl/>
        <w:spacing w:line="600" w:lineRule="exact"/>
        <w:ind w:firstLine="645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、部门整体支出绩效情况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" w:cs="仿宋"/>
          <w:sz w:val="32"/>
          <w:szCs w:val="32"/>
        </w:rPr>
        <w:t>绩效目标</w:t>
      </w:r>
      <w:r>
        <w:rPr>
          <w:rFonts w:hint="eastAsia" w:ascii="仿宋_GB2312" w:hAnsi="仿宋" w:cs="仿宋"/>
          <w:sz w:val="32"/>
          <w:szCs w:val="32"/>
          <w:lang w:eastAsia="zh-CN"/>
        </w:rPr>
        <w:t>设置</w:t>
      </w:r>
      <w:r>
        <w:rPr>
          <w:rFonts w:hint="eastAsia" w:ascii="仿宋_GB2312" w:hAnsi="仿宋" w:cs="仿宋"/>
          <w:sz w:val="32"/>
          <w:szCs w:val="32"/>
        </w:rPr>
        <w:t>情况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质量目标</w:t>
      </w:r>
      <w:r>
        <w:rPr>
          <w:rFonts w:hint="eastAsia" w:ascii="仿宋_GB2312" w:hAnsi="仿宋" w:cs="仿宋"/>
          <w:sz w:val="32"/>
          <w:szCs w:val="32"/>
          <w:lang w:eastAsia="zh-CN"/>
        </w:rPr>
        <w:t>：</w:t>
      </w:r>
      <w:r>
        <w:rPr>
          <w:rFonts w:hint="eastAsia" w:ascii="仿宋_GB2312" w:hAnsi="仿宋" w:cs="仿宋"/>
          <w:sz w:val="32"/>
          <w:szCs w:val="32"/>
        </w:rPr>
        <w:t>赴异地开展小分队招商，参加省、市举办的大型招商活动，自行举办大、中、小型招商活动、日常接待客商。完成实际到位外资、引进省外境内资金、引进市外境内资金完成固定资产投资、外贸进出口等经济指标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 xml:space="preserve">经济效益：全年共计开展小分队精准招商31次，对接各类企业520余家；2019全年集中签约项目36个，签约金额达311亿元；酷哇机器人、山猫传媒、千视通全球总部等重点项目顺利落地；引入五矿集团在湘总部大楼项目、浪潮集团（中部）总部基地、珠海依云综合体项目、长沙森活家商贸流通项目、中交一公局（长沙）建设投资项目等“三类”500强项目5个；成功出让蔡家冲地块、汽车喇叭厂地块，黑石村1号地块、新建西路地块、七号地块南、长沙机电厂地块，总出让面积226.6亩，成交总价为28.64亿元；完成楼宇招商面积约20.4万平方米。招商成效明显，为区级财政作出贡献。 </w:t>
      </w:r>
    </w:p>
    <w:p>
      <w:pPr>
        <w:widowControl/>
        <w:snapToGrid w:val="0"/>
        <w:spacing w:line="560" w:lineRule="exact"/>
        <w:ind w:firstLine="480" w:firstLineChars="150"/>
        <w:jc w:val="left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 xml:space="preserve"> 时效目标：各项资金上报及时、审批流程规范。  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cs="仿宋"/>
          <w:sz w:val="32"/>
          <w:szCs w:val="32"/>
          <w:lang w:val="en-US" w:eastAsia="zh-CN"/>
        </w:rPr>
      </w:pPr>
      <w:r>
        <w:rPr>
          <w:rFonts w:hint="eastAsia" w:ascii="仿宋_GB2312" w:hAnsi="仿宋" w:cs="仿宋"/>
          <w:sz w:val="32"/>
          <w:szCs w:val="32"/>
        </w:rPr>
        <w:t xml:space="preserve">服务对象满意度：经走访调查，资金拨付及时，项目单位满意度高。                                                                                                  </w:t>
      </w:r>
      <w:r>
        <w:rPr>
          <w:rFonts w:hint="default" w:ascii="仿宋_GB2312" w:hAnsi="仿宋" w:cs="仿宋"/>
          <w:sz w:val="32"/>
          <w:szCs w:val="32"/>
          <w:lang w:val="en-US"/>
        </w:rPr>
        <w:t xml:space="preserve">         </w:t>
      </w:r>
    </w:p>
    <w:p>
      <w:pPr>
        <w:widowControl/>
        <w:numPr>
          <w:ilvl w:val="0"/>
          <w:numId w:val="2"/>
        </w:numPr>
        <w:snapToGrid w:val="0"/>
        <w:spacing w:line="560" w:lineRule="exact"/>
        <w:ind w:left="1720" w:leftChars="0" w:hanging="1080" w:firstLineChars="0"/>
        <w:jc w:val="left"/>
        <w:rPr>
          <w:rFonts w:hint="eastAsia" w:ascii="仿宋_GB2312" w:hAnsi="仿宋" w:cs="仿宋"/>
          <w:sz w:val="32"/>
          <w:szCs w:val="32"/>
          <w:lang w:eastAsia="zh-CN"/>
        </w:rPr>
      </w:pPr>
      <w:r>
        <w:rPr>
          <w:rFonts w:hint="eastAsia" w:ascii="仿宋_GB2312" w:hAnsi="仿宋" w:cs="仿宋"/>
          <w:sz w:val="32"/>
          <w:szCs w:val="32"/>
          <w:lang w:eastAsia="zh-CN"/>
        </w:rPr>
        <w:t>绩效目标完成情况</w:t>
      </w:r>
    </w:p>
    <w:p>
      <w:pPr>
        <w:spacing w:line="560" w:lineRule="exact"/>
        <w:ind w:firstLine="645"/>
        <w:rPr>
          <w:rFonts w:hint="eastAsia" w:ascii="仿宋_GB2312" w:cs="仿宋_GB2312"/>
          <w:sz w:val="32"/>
          <w:szCs w:val="32"/>
          <w:lang w:eastAsia="zh-CN"/>
        </w:rPr>
      </w:pPr>
      <w:r>
        <w:rPr>
          <w:rFonts w:hint="eastAsia" w:ascii="仿宋_GB2312" w:cs="仿宋_GB2312"/>
          <w:sz w:val="32"/>
          <w:szCs w:val="32"/>
          <w:lang w:eastAsia="zh-CN"/>
        </w:rPr>
        <w:t>严格按照中央、省、市的相关规定进一步规范了接待标准，厉行勤俭节约，反对铺张浪费，加强廉政建设，严格执行相关文件控制经费支出。</w:t>
      </w:r>
    </w:p>
    <w:p>
      <w:pPr>
        <w:spacing w:line="560" w:lineRule="exact"/>
        <w:ind w:firstLine="640" w:firstLineChars="200"/>
        <w:rPr>
          <w:rFonts w:hint="eastAsia" w:ascii="仿宋_GB2312" w:cs="仿宋_GB2312"/>
          <w:sz w:val="32"/>
          <w:szCs w:val="32"/>
          <w:lang w:eastAsia="zh-CN"/>
        </w:rPr>
      </w:pPr>
      <w:r>
        <w:rPr>
          <w:rFonts w:hint="eastAsia" w:ascii="华文新魏" w:hAnsi="华文新魏" w:eastAsia="华文新魏" w:cs="华文新魏"/>
          <w:sz w:val="32"/>
          <w:szCs w:val="32"/>
          <w:lang w:eastAsia="zh-CN"/>
        </w:rPr>
        <w:t>单位基本支出：</w:t>
      </w:r>
      <w:r>
        <w:rPr>
          <w:rFonts w:hint="eastAsia" w:ascii="仿宋_GB2312" w:cs="仿宋_GB2312"/>
          <w:sz w:val="32"/>
          <w:szCs w:val="32"/>
          <w:lang w:val="en-US" w:eastAsia="zh-CN"/>
        </w:rPr>
        <w:t>决算数为637.73万元，主要是</w:t>
      </w:r>
      <w:r>
        <w:rPr>
          <w:rFonts w:hint="eastAsia" w:ascii="仿宋_GB2312" w:cs="仿宋_GB2312"/>
          <w:sz w:val="32"/>
          <w:szCs w:val="32"/>
          <w:lang w:eastAsia="zh-CN"/>
        </w:rPr>
        <w:t>因为机构改革人员及经费的划转，以及工资调标、退休人员职业年金的缴纳等。</w:t>
      </w:r>
    </w:p>
    <w:p>
      <w:pPr>
        <w:widowControl/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华文新魏" w:hAnsi="华文新魏" w:eastAsia="华文新魏" w:cs="华文新魏"/>
          <w:sz w:val="32"/>
          <w:szCs w:val="32"/>
          <w:lang w:eastAsia="zh-CN"/>
        </w:rPr>
        <w:t>项目支出：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政府专项中</w:t>
      </w:r>
      <w:r>
        <w:rPr>
          <w:rFonts w:ascii="Times New Roman" w:hAnsi="Times New Roman" w:eastAsia="仿宋_GB2312" w:cs="Times New Roman"/>
          <w:sz w:val="32"/>
          <w:szCs w:val="32"/>
        </w:rPr>
        <w:t>招商引资、旅游专项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259.13</w:t>
      </w:r>
      <w:r>
        <w:rPr>
          <w:rFonts w:ascii="Times New Roman" w:hAnsi="Times New Roman" w:eastAsia="仿宋_GB2312" w:cs="Times New Roman"/>
          <w:sz w:val="32"/>
          <w:szCs w:val="32"/>
        </w:rPr>
        <w:t>万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区已开展各类招商资源专场推介活动11次；开展小分队精准招商30次，对接各类企业430余家；举办各类招商节会6次，集中签约项目57个，长沙酷哇人工智能及大数据产业技术研究院有限公司、中华版权代理总公司长沙工作站、“今日头条”湖南总运营项目等重点项目落地；成功出让蔡家冲地块、汽车喇叭厂地块，黑石村1号地块、新建西路地块，新姚二号、七号地块南取得实质性进展；成功引入浪潮集团（中部）总部基地、珠海依云综合体项目、长沙森活家商贸流通项目等“三类”500强项目。新引进新建西路商业体项目、石人村蔡家冲地块（印江雅居）项目、五矿华中总部项目、湖南省智能化产业园等投资总额10亿元以上项目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业务工作经费中</w:t>
      </w:r>
      <w:r>
        <w:rPr>
          <w:rFonts w:ascii="Times New Roman" w:hAnsi="Times New Roman" w:eastAsia="仿宋_GB2312" w:cs="Times New Roman"/>
          <w:sz w:val="32"/>
          <w:szCs w:val="32"/>
        </w:rPr>
        <w:t>肉类蔬菜流通追溯系统运行维护经费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9.18</w:t>
      </w:r>
      <w:r>
        <w:rPr>
          <w:rFonts w:ascii="Times New Roman" w:hAnsi="Times New Roman" w:eastAsia="仿宋_GB2312" w:cs="Times New Roman"/>
          <w:sz w:val="32"/>
          <w:szCs w:val="32"/>
        </w:rPr>
        <w:t>万元，主要用于肉菜流通追溯体系建设、工程造价咨询、系统运行维护；北京招商站费用9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2.37</w:t>
      </w:r>
      <w:r>
        <w:rPr>
          <w:rFonts w:ascii="Times New Roman" w:hAnsi="Times New Roman" w:eastAsia="仿宋_GB2312" w:cs="Times New Roman"/>
          <w:sz w:val="32"/>
          <w:szCs w:val="32"/>
        </w:rPr>
        <w:t>万元，主要用于北京招商站工作补贴、交通、招待、日常办公开支、租房、租车费用等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5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四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存在的主要问题及下一步改进措施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1、建立健全管理制度，按照财政要求，建立健全资金管理制度、专项报账制度等财务制度。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2、加强对资金使用的管理，规范财政资金使用，提高资金使用效率。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6AD"/>
    <w:multiLevelType w:val="multilevel"/>
    <w:tmpl w:val="318206A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9AC1E24"/>
    <w:multiLevelType w:val="multilevel"/>
    <w:tmpl w:val="79AC1E24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3291F"/>
    <w:rsid w:val="0523291F"/>
    <w:rsid w:val="10AC2235"/>
    <w:rsid w:val="15741C21"/>
    <w:rsid w:val="2B7F47EB"/>
    <w:rsid w:val="35B41941"/>
    <w:rsid w:val="3B785E83"/>
    <w:rsid w:val="3B7A1B3F"/>
    <w:rsid w:val="3F9C3D42"/>
    <w:rsid w:val="4020569E"/>
    <w:rsid w:val="54AA52C3"/>
    <w:rsid w:val="63676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2020-05-12T02:10:00Z</dcterms:created>
  <dc:creator>沈开心</dc:creator>
  <cp:lastModifiedBy>沈开心</cp:lastModifiedBy>
  <cp:lastPrinted>2020-09-27T03:20:00Z</cp:lastPrinted>
  <dcterms:modified xsi:type="dcterms:W3CDTF">2020-09-29T02:20:58Z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