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6"/>
        <w:jc w:val="left"/>
        <w:rPr>
          <w:rFonts w:hint="eastAsia" w:ascii="黑体" w:hAnsi="黑体" w:eastAsia="黑体"/>
          <w:kern w:val="0"/>
          <w:sz w:val="32"/>
          <w:szCs w:val="32"/>
        </w:rPr>
      </w:pPr>
    </w:p>
    <w:p>
      <w:pPr>
        <w:adjustRightInd w:val="0"/>
        <w:snapToGrid w:val="0"/>
        <w:spacing w:line="560" w:lineRule="exact"/>
        <w:ind w:right="-36"/>
        <w:jc w:val="left"/>
        <w:rPr>
          <w:rFonts w:hint="eastAsia" w:ascii="黑体" w:hAnsi="黑体" w:eastAsia="黑体"/>
          <w:kern w:val="0"/>
          <w:sz w:val="32"/>
          <w:szCs w:val="32"/>
        </w:rPr>
      </w:pPr>
    </w:p>
    <w:p>
      <w:pPr>
        <w:jc w:val="center"/>
        <w:rPr>
          <w:rFonts w:hint="eastAsia"/>
          <w:sz w:val="44"/>
          <w:szCs w:val="44"/>
        </w:rPr>
      </w:pPr>
      <w:r>
        <w:rPr>
          <w:rFonts w:hint="eastAsia" w:ascii="方正小标宋简体" w:eastAsia="方正小标宋简体"/>
          <w:sz w:val="44"/>
          <w:szCs w:val="44"/>
        </w:rPr>
        <w:t>部门整体支出绩效自评报告</w:t>
      </w:r>
    </w:p>
    <w:p>
      <w:pPr>
        <w:jc w:val="center"/>
        <w:rPr>
          <w:rFonts w:hint="eastAsia"/>
          <w:sz w:val="44"/>
          <w:szCs w:val="44"/>
        </w:rPr>
      </w:pPr>
    </w:p>
    <w:p>
      <w:pPr>
        <w:jc w:val="center"/>
        <w:rPr>
          <w:rFonts w:hint="eastAsia"/>
          <w:sz w:val="44"/>
          <w:szCs w:val="44"/>
        </w:rPr>
      </w:pPr>
    </w:p>
    <w:p>
      <w:pPr>
        <w:spacing w:line="600" w:lineRule="exact"/>
        <w:ind w:firstLine="540" w:firstLineChars="150"/>
        <w:jc w:val="left"/>
        <w:rPr>
          <w:rFonts w:hint="eastAsia" w:ascii="黑体" w:eastAsia="黑体"/>
          <w:sz w:val="36"/>
          <w:szCs w:val="36"/>
        </w:rPr>
      </w:pPr>
    </w:p>
    <w:p>
      <w:pPr>
        <w:spacing w:line="600" w:lineRule="exact"/>
        <w:ind w:firstLine="540" w:firstLineChars="150"/>
        <w:jc w:val="left"/>
        <w:rPr>
          <w:rFonts w:hint="eastAsia" w:ascii="黑体" w:eastAsia="黑体"/>
          <w:sz w:val="36"/>
          <w:szCs w:val="36"/>
        </w:rPr>
      </w:pPr>
      <w:r>
        <w:rPr>
          <w:rFonts w:hint="eastAsia" w:ascii="黑体" w:eastAsia="黑体"/>
          <w:sz w:val="36"/>
          <w:szCs w:val="36"/>
        </w:rPr>
        <w:t>单位名称：</w:t>
      </w:r>
      <w:r>
        <w:rPr>
          <w:rFonts w:hint="eastAsia" w:ascii="黑体" w:eastAsia="黑体"/>
          <w:sz w:val="36"/>
          <w:szCs w:val="36"/>
          <w:lang w:eastAsia="zh-CN"/>
        </w:rPr>
        <w:t>长沙市天心区统计局</w:t>
      </w:r>
      <w:r>
        <w:rPr>
          <w:rFonts w:hint="eastAsia" w:ascii="黑体" w:eastAsia="黑体"/>
          <w:sz w:val="36"/>
          <w:szCs w:val="36"/>
        </w:rPr>
        <w:t xml:space="preserve"> </w:t>
      </w:r>
    </w:p>
    <w:p>
      <w:pPr>
        <w:spacing w:line="600" w:lineRule="exact"/>
        <w:ind w:firstLine="540" w:firstLineChars="150"/>
        <w:jc w:val="left"/>
        <w:rPr>
          <w:rFonts w:hint="eastAsia" w:ascii="黑体" w:eastAsia="黑体"/>
          <w:sz w:val="36"/>
          <w:szCs w:val="36"/>
        </w:rPr>
      </w:pPr>
    </w:p>
    <w:p>
      <w:pPr>
        <w:spacing w:line="600" w:lineRule="exact"/>
        <w:ind w:firstLine="540" w:firstLineChars="150"/>
        <w:jc w:val="left"/>
        <w:rPr>
          <w:rFonts w:hint="eastAsia" w:ascii="黑体" w:eastAsia="黑体"/>
          <w:sz w:val="36"/>
          <w:szCs w:val="36"/>
        </w:rPr>
      </w:pPr>
      <w:r>
        <w:rPr>
          <w:rFonts w:hint="eastAsia" w:ascii="黑体" w:eastAsia="黑体"/>
          <w:sz w:val="36"/>
          <w:szCs w:val="36"/>
        </w:rPr>
        <w:t>报告填报人：</w:t>
      </w:r>
      <w:r>
        <w:rPr>
          <w:rFonts w:hint="eastAsia" w:ascii="黑体" w:eastAsia="黑体"/>
          <w:sz w:val="36"/>
          <w:szCs w:val="36"/>
          <w:lang w:eastAsia="zh-CN"/>
        </w:rPr>
        <w:t>吴钰</w:t>
      </w:r>
      <w:r>
        <w:rPr>
          <w:rFonts w:hint="eastAsia" w:ascii="黑体" w:eastAsia="黑体"/>
          <w:sz w:val="36"/>
          <w:szCs w:val="36"/>
        </w:rPr>
        <w:t xml:space="preserve"> </w:t>
      </w:r>
    </w:p>
    <w:p>
      <w:pPr>
        <w:spacing w:line="600" w:lineRule="exact"/>
        <w:ind w:firstLine="540" w:firstLineChars="150"/>
        <w:jc w:val="left"/>
        <w:rPr>
          <w:rFonts w:hint="eastAsia" w:ascii="黑体" w:eastAsia="黑体"/>
          <w:sz w:val="36"/>
          <w:szCs w:val="36"/>
        </w:rPr>
      </w:pPr>
    </w:p>
    <w:p>
      <w:pPr>
        <w:spacing w:line="600" w:lineRule="exact"/>
        <w:ind w:firstLine="540" w:firstLineChars="150"/>
        <w:jc w:val="left"/>
        <w:rPr>
          <w:rFonts w:hint="eastAsia" w:ascii="黑体" w:eastAsia="黑体"/>
          <w:sz w:val="36"/>
          <w:szCs w:val="36"/>
        </w:rPr>
      </w:pPr>
      <w:r>
        <w:rPr>
          <w:rFonts w:hint="eastAsia" w:ascii="黑体" w:eastAsia="黑体"/>
          <w:sz w:val="36"/>
          <w:szCs w:val="36"/>
        </w:rPr>
        <w:t>办公电话：</w:t>
      </w:r>
      <w:r>
        <w:rPr>
          <w:rFonts w:hint="eastAsia" w:ascii="黑体" w:eastAsia="黑体"/>
          <w:sz w:val="36"/>
          <w:szCs w:val="36"/>
          <w:lang w:val="en-US" w:eastAsia="zh-CN"/>
        </w:rPr>
        <w:t>0731-85899621</w:t>
      </w:r>
      <w:r>
        <w:rPr>
          <w:rFonts w:hint="eastAsia" w:ascii="黑体" w:eastAsia="黑体"/>
          <w:sz w:val="36"/>
          <w:szCs w:val="36"/>
        </w:rPr>
        <w:t xml:space="preserve"> </w:t>
      </w:r>
    </w:p>
    <w:p>
      <w:pPr>
        <w:spacing w:line="600" w:lineRule="exact"/>
        <w:ind w:firstLine="540" w:firstLineChars="150"/>
        <w:jc w:val="left"/>
        <w:rPr>
          <w:rFonts w:hint="eastAsia" w:ascii="黑体" w:eastAsia="黑体"/>
          <w:sz w:val="36"/>
          <w:szCs w:val="36"/>
        </w:rPr>
      </w:pPr>
    </w:p>
    <w:p>
      <w:pPr>
        <w:spacing w:line="600" w:lineRule="exact"/>
        <w:ind w:firstLine="540" w:firstLineChars="150"/>
        <w:jc w:val="left"/>
        <w:rPr>
          <w:rFonts w:hint="eastAsia" w:ascii="黑体" w:eastAsia="黑体"/>
          <w:sz w:val="36"/>
          <w:szCs w:val="36"/>
        </w:rPr>
      </w:pPr>
      <w:r>
        <w:rPr>
          <w:rFonts w:hint="eastAsia" w:ascii="黑体" w:eastAsia="黑体"/>
          <w:sz w:val="36"/>
          <w:szCs w:val="36"/>
        </w:rPr>
        <w:t>手机号码：</w:t>
      </w:r>
      <w:r>
        <w:rPr>
          <w:rFonts w:hint="eastAsia" w:ascii="黑体" w:eastAsia="黑体"/>
          <w:sz w:val="36"/>
          <w:szCs w:val="36"/>
          <w:lang w:val="en-US" w:eastAsia="zh-CN"/>
        </w:rPr>
        <w:t>18711151709</w:t>
      </w:r>
      <w:r>
        <w:rPr>
          <w:rFonts w:hint="eastAsia" w:ascii="黑体" w:eastAsia="黑体"/>
          <w:sz w:val="36"/>
          <w:szCs w:val="36"/>
        </w:rPr>
        <w:t xml:space="preserve"> </w:t>
      </w:r>
    </w:p>
    <w:p>
      <w:pPr>
        <w:jc w:val="center"/>
        <w:rPr>
          <w:rFonts w:hint="eastAsia" w:ascii="黑体" w:eastAsia="黑体"/>
          <w:sz w:val="36"/>
          <w:szCs w:val="36"/>
        </w:rPr>
      </w:pPr>
    </w:p>
    <w:p>
      <w:pPr>
        <w:jc w:val="center"/>
        <w:rPr>
          <w:rFonts w:hint="eastAsia" w:ascii="黑体" w:eastAsia="黑体"/>
          <w:sz w:val="36"/>
          <w:szCs w:val="36"/>
        </w:rPr>
      </w:pPr>
    </w:p>
    <w:p>
      <w:pPr>
        <w:spacing w:line="800" w:lineRule="exact"/>
        <w:jc w:val="center"/>
        <w:rPr>
          <w:rFonts w:hint="eastAsia" w:ascii="楷体_GB2312" w:eastAsia="楷体_GB2312"/>
          <w:sz w:val="36"/>
          <w:szCs w:val="36"/>
        </w:rPr>
      </w:pPr>
      <w:r>
        <w:rPr>
          <w:rFonts w:hint="eastAsia" w:ascii="楷体_GB2312" w:eastAsia="楷体_GB2312"/>
          <w:sz w:val="36"/>
          <w:szCs w:val="36"/>
        </w:rPr>
        <w:t>报告日期：</w:t>
      </w:r>
      <w:r>
        <w:rPr>
          <w:rFonts w:hint="eastAsia" w:ascii="楷体_GB2312" w:eastAsia="楷体_GB2312"/>
          <w:sz w:val="36"/>
          <w:szCs w:val="36"/>
          <w:lang w:val="en-US" w:eastAsia="zh-CN"/>
        </w:rPr>
        <w:t>2022</w:t>
      </w:r>
      <w:r>
        <w:rPr>
          <w:rFonts w:hint="eastAsia" w:ascii="楷体_GB2312" w:eastAsia="楷体_GB2312"/>
          <w:sz w:val="36"/>
          <w:szCs w:val="36"/>
        </w:rPr>
        <w:t>年</w:t>
      </w:r>
      <w:r>
        <w:rPr>
          <w:rFonts w:hint="eastAsia" w:ascii="楷体_GB2312" w:eastAsia="楷体_GB2312"/>
          <w:sz w:val="36"/>
          <w:szCs w:val="36"/>
          <w:lang w:val="en-US" w:eastAsia="zh-CN"/>
        </w:rPr>
        <w:t>4</w:t>
      </w:r>
      <w:r>
        <w:rPr>
          <w:rFonts w:hint="eastAsia" w:ascii="楷体_GB2312" w:eastAsia="楷体_GB2312"/>
          <w:sz w:val="36"/>
          <w:szCs w:val="36"/>
        </w:rPr>
        <w:t>月</w:t>
      </w:r>
      <w:r>
        <w:rPr>
          <w:rFonts w:hint="eastAsia" w:ascii="楷体_GB2312" w:eastAsia="楷体_GB2312"/>
          <w:sz w:val="36"/>
          <w:szCs w:val="36"/>
          <w:lang w:val="en-US" w:eastAsia="zh-CN"/>
        </w:rPr>
        <w:t>15</w:t>
      </w:r>
      <w:r>
        <w:rPr>
          <w:rFonts w:hint="eastAsia" w:ascii="楷体_GB2312" w:eastAsia="楷体_GB2312"/>
          <w:sz w:val="36"/>
          <w:szCs w:val="36"/>
        </w:rPr>
        <w:t>日</w:t>
      </w:r>
    </w:p>
    <w:p>
      <w:pPr>
        <w:spacing w:line="800" w:lineRule="exact"/>
        <w:jc w:val="center"/>
        <w:rPr>
          <w:rFonts w:hint="eastAsia" w:ascii="楷体_GB2312" w:eastAsia="楷体_GB2312"/>
          <w:sz w:val="36"/>
          <w:szCs w:val="36"/>
        </w:rPr>
      </w:pPr>
    </w:p>
    <w:p>
      <w:pPr>
        <w:spacing w:line="800" w:lineRule="exact"/>
        <w:jc w:val="center"/>
        <w:rPr>
          <w:rFonts w:hint="eastAsia" w:ascii="楷体_GB2312" w:eastAsia="楷体_GB2312"/>
          <w:sz w:val="36"/>
          <w:szCs w:val="36"/>
        </w:rPr>
      </w:pPr>
    </w:p>
    <w:p>
      <w:pPr>
        <w:spacing w:line="800" w:lineRule="exact"/>
        <w:jc w:val="center"/>
        <w:rPr>
          <w:rFonts w:hint="eastAsia" w:ascii="楷体_GB2312" w:eastAsia="楷体_GB2312"/>
          <w:sz w:val="36"/>
          <w:szCs w:val="36"/>
        </w:rPr>
      </w:pPr>
    </w:p>
    <w:p>
      <w:pPr>
        <w:pStyle w:val="5"/>
        <w:widowControl/>
        <w:numPr>
          <w:ilvl w:val="0"/>
          <w:numId w:val="0"/>
        </w:numPr>
        <w:spacing w:line="540" w:lineRule="exact"/>
        <w:rPr>
          <w:rFonts w:hint="eastAsia" w:eastAsia="黑体"/>
          <w:sz w:val="32"/>
          <w:szCs w:val="32"/>
          <w:lang w:eastAsia="zh-CN"/>
        </w:rPr>
      </w:pPr>
    </w:p>
    <w:p>
      <w:pPr>
        <w:pStyle w:val="5"/>
        <w:widowControl/>
        <w:numPr>
          <w:ilvl w:val="0"/>
          <w:numId w:val="0"/>
        </w:numPr>
        <w:spacing w:line="540" w:lineRule="exact"/>
        <w:rPr>
          <w:rFonts w:hint="eastAsia" w:eastAsia="黑体"/>
          <w:sz w:val="32"/>
          <w:szCs w:val="32"/>
          <w:lang w:eastAsia="zh-CN"/>
        </w:rPr>
      </w:pPr>
    </w:p>
    <w:p>
      <w:pPr>
        <w:pStyle w:val="5"/>
        <w:widowControl/>
        <w:numPr>
          <w:ilvl w:val="0"/>
          <w:numId w:val="0"/>
        </w:numPr>
        <w:spacing w:line="540" w:lineRule="exact"/>
        <w:ind w:firstLine="640" w:firstLineChars="200"/>
        <w:rPr>
          <w:rFonts w:eastAsia="黑体"/>
          <w:sz w:val="32"/>
          <w:szCs w:val="32"/>
        </w:rPr>
      </w:pPr>
      <w:r>
        <w:rPr>
          <w:rFonts w:hint="eastAsia" w:eastAsia="黑体"/>
          <w:sz w:val="32"/>
          <w:szCs w:val="32"/>
          <w:lang w:eastAsia="zh-CN"/>
        </w:rPr>
        <w:t>一、</w:t>
      </w:r>
      <w:r>
        <w:rPr>
          <w:rFonts w:eastAsia="黑体"/>
          <w:sz w:val="32"/>
          <w:szCs w:val="32"/>
        </w:rPr>
        <w:t>部门基本情况</w:t>
      </w:r>
    </w:p>
    <w:p>
      <w:pPr>
        <w:widowControl/>
        <w:numPr>
          <w:ilvl w:val="0"/>
          <w:numId w:val="1"/>
        </w:numPr>
        <w:snapToGrid w:val="0"/>
        <w:spacing w:line="540" w:lineRule="exact"/>
        <w:ind w:firstLine="640" w:firstLineChars="200"/>
        <w:jc w:val="left"/>
        <w:rPr>
          <w:rFonts w:hAnsi="宋体" w:cs="宋体"/>
          <w:color w:val="000000"/>
          <w:kern w:val="0"/>
          <w:sz w:val="32"/>
          <w:szCs w:val="32"/>
        </w:rPr>
      </w:pPr>
      <w:r>
        <w:rPr>
          <w:rFonts w:hint="eastAsia" w:ascii="楷体_GB2312" w:hAnsi="楷体_GB2312" w:eastAsia="楷体_GB2312" w:cs="楷体_GB2312"/>
          <w:color w:val="000000"/>
          <w:sz w:val="32"/>
          <w:szCs w:val="32"/>
        </w:rPr>
        <w:t>部门基本情况</w:t>
      </w:r>
    </w:p>
    <w:p>
      <w:pPr>
        <w:spacing w:beforeLines="0" w:afterLines="0" w:line="520" w:lineRule="exact"/>
        <w:ind w:firstLine="640"/>
        <w:rPr>
          <w:rFonts w:hint="eastAsia" w:ascii="仿宋" w:hAnsi="仿宋" w:eastAsia="仿宋"/>
          <w:color w:val="auto"/>
          <w:kern w:val="2"/>
          <w:sz w:val="32"/>
        </w:rPr>
      </w:pPr>
      <w:r>
        <w:rPr>
          <w:rFonts w:hint="eastAsia" w:hAnsi="宋体" w:cs="宋体"/>
          <w:color w:val="000000"/>
          <w:kern w:val="0"/>
          <w:sz w:val="32"/>
          <w:szCs w:val="32"/>
        </w:rPr>
        <w:t xml:space="preserve">  </w:t>
      </w:r>
      <w:r>
        <w:rPr>
          <w:rFonts w:hint="eastAsia" w:ascii="仿宋" w:hAnsi="仿宋" w:eastAsia="仿宋"/>
          <w:sz w:val="32"/>
        </w:rPr>
        <w:t>1．主要职能</w:t>
      </w:r>
      <w:r>
        <w:rPr>
          <w:rFonts w:hint="eastAsia" w:ascii="仿宋" w:hAnsi="仿宋" w:eastAsia="仿宋"/>
          <w:sz w:val="32"/>
          <w:lang w:eastAsia="zh-CN"/>
        </w:rPr>
        <w:t>：</w:t>
      </w:r>
      <w:r>
        <w:rPr>
          <w:rFonts w:hint="eastAsia" w:ascii="仿宋" w:hAnsi="仿宋" w:eastAsia="仿宋"/>
          <w:color w:val="auto"/>
          <w:kern w:val="2"/>
          <w:sz w:val="32"/>
        </w:rPr>
        <w:t>（</w:t>
      </w:r>
      <w:r>
        <w:rPr>
          <w:rFonts w:hint="eastAsia" w:ascii="仿宋" w:hAnsi="仿宋" w:eastAsia="仿宋"/>
          <w:color w:val="auto"/>
          <w:kern w:val="2"/>
          <w:sz w:val="32"/>
          <w:lang w:val="en-US" w:eastAsia="zh-CN"/>
        </w:rPr>
        <w:t>1</w:t>
      </w:r>
      <w:r>
        <w:rPr>
          <w:rFonts w:hint="eastAsia" w:ascii="仿宋" w:hAnsi="仿宋" w:eastAsia="仿宋"/>
          <w:color w:val="auto"/>
          <w:kern w:val="2"/>
          <w:sz w:val="32"/>
        </w:rPr>
        <w:t>）贯彻执行国家、省、市统计工作的方针、政策和法律、法规，研究统计制度和统计方法的改革，承担国家和地方统计调查任务；承担组织领导和协调全区统计工作，确保统计数据真实、准确、及时；检查监督统计法规的实施情况，查处各类统计违法行为。（</w:t>
      </w:r>
      <w:r>
        <w:rPr>
          <w:rFonts w:hint="eastAsia" w:ascii="仿宋" w:hAnsi="仿宋" w:eastAsia="仿宋"/>
          <w:color w:val="auto"/>
          <w:kern w:val="2"/>
          <w:sz w:val="32"/>
          <w:lang w:val="en-US" w:eastAsia="zh-CN"/>
        </w:rPr>
        <w:t>2</w:t>
      </w:r>
      <w:r>
        <w:rPr>
          <w:rFonts w:hint="eastAsia" w:ascii="仿宋" w:hAnsi="仿宋" w:eastAsia="仿宋"/>
          <w:color w:val="auto"/>
          <w:kern w:val="2"/>
          <w:sz w:val="32"/>
        </w:rPr>
        <w:t>）拟订并组织实施全区统计改革和统计现代化建设规划及统计调查计划，组织实施全区国民经济核算制度和全区投入产出调查，核算全区国内生产总值，提供国民经济核算资料。（</w:t>
      </w:r>
      <w:r>
        <w:rPr>
          <w:rFonts w:hint="eastAsia" w:ascii="仿宋" w:hAnsi="仿宋" w:eastAsia="仿宋"/>
          <w:color w:val="auto"/>
          <w:kern w:val="2"/>
          <w:sz w:val="32"/>
          <w:lang w:val="en-US" w:eastAsia="zh-CN"/>
        </w:rPr>
        <w:t>3</w:t>
      </w:r>
      <w:r>
        <w:rPr>
          <w:rFonts w:hint="eastAsia" w:ascii="仿宋" w:hAnsi="仿宋" w:eastAsia="仿宋"/>
          <w:color w:val="auto"/>
          <w:kern w:val="2"/>
          <w:sz w:val="32"/>
        </w:rPr>
        <w:t>）根据中央、省、市的统一部署，组织实施全区人口普查、经济普查、农业普查等重大国情国力普查，汇总、整理和提供有关区情区力方面的基础统计数据。（</w:t>
      </w:r>
      <w:r>
        <w:rPr>
          <w:rFonts w:hint="eastAsia" w:ascii="仿宋" w:hAnsi="仿宋" w:eastAsia="仿宋"/>
          <w:color w:val="auto"/>
          <w:kern w:val="2"/>
          <w:sz w:val="32"/>
          <w:lang w:val="en-US" w:eastAsia="zh-CN"/>
        </w:rPr>
        <w:t>4</w:t>
      </w:r>
      <w:r>
        <w:rPr>
          <w:rFonts w:hint="eastAsia" w:ascii="仿宋" w:hAnsi="仿宋" w:eastAsia="仿宋"/>
          <w:color w:val="auto"/>
          <w:kern w:val="2"/>
          <w:sz w:val="32"/>
        </w:rPr>
        <w:t>）组织实施各项各类统计调查，收集、汇总、整理和提供有关调查的统计数据，统一核定、管理、公布全区性基本统计资料，定期发布全区国民经济和社会发展情况的统计信息，组织建立服务业统计信息共享制度和发布制度。（</w:t>
      </w:r>
      <w:r>
        <w:rPr>
          <w:rFonts w:hint="eastAsia" w:ascii="仿宋" w:hAnsi="仿宋" w:eastAsia="仿宋"/>
          <w:color w:val="auto"/>
          <w:kern w:val="2"/>
          <w:sz w:val="32"/>
          <w:lang w:val="en-US" w:eastAsia="zh-CN"/>
        </w:rPr>
        <w:t>5</w:t>
      </w:r>
      <w:r>
        <w:rPr>
          <w:rFonts w:hint="eastAsia" w:ascii="仿宋" w:hAnsi="仿宋" w:eastAsia="仿宋"/>
          <w:color w:val="auto"/>
          <w:kern w:val="2"/>
          <w:sz w:val="32"/>
        </w:rPr>
        <w:t>）依法审批或者备案统计调查项目、地方统计调查项目，指导专业统计基础工作、统计基层业务与基础建设，宣传贯彻统计数据质量审核、监控和评估制度，开展对重要统计数据的审核、监控和评估，依法监督管理涉外调查活动。（</w:t>
      </w:r>
      <w:r>
        <w:rPr>
          <w:rFonts w:hint="eastAsia" w:ascii="仿宋" w:hAnsi="仿宋" w:eastAsia="仿宋"/>
          <w:color w:val="auto"/>
          <w:kern w:val="2"/>
          <w:sz w:val="32"/>
          <w:lang w:val="en-US" w:eastAsia="zh-CN"/>
        </w:rPr>
        <w:t>6</w:t>
      </w:r>
      <w:r>
        <w:rPr>
          <w:rFonts w:hint="eastAsia" w:ascii="仿宋" w:hAnsi="仿宋" w:eastAsia="仿宋"/>
          <w:color w:val="auto"/>
          <w:kern w:val="2"/>
          <w:sz w:val="32"/>
        </w:rPr>
        <w:t>）指导全区统计专业技术队伍建设，会同有关部门组织管理全区统计专业资格考试和职务评聘工作。组织指导全区统计的科研、教育、宣传工作。（</w:t>
      </w:r>
      <w:r>
        <w:rPr>
          <w:rFonts w:hint="eastAsia" w:ascii="仿宋" w:hAnsi="仿宋" w:eastAsia="仿宋"/>
          <w:color w:val="auto"/>
          <w:kern w:val="2"/>
          <w:sz w:val="32"/>
          <w:lang w:val="en-US" w:eastAsia="zh-CN"/>
        </w:rPr>
        <w:t>7</w:t>
      </w:r>
      <w:r>
        <w:rPr>
          <w:rFonts w:hint="eastAsia" w:ascii="仿宋" w:hAnsi="仿宋" w:eastAsia="仿宋"/>
          <w:color w:val="auto"/>
          <w:kern w:val="2"/>
          <w:sz w:val="32"/>
        </w:rPr>
        <w:t>）建立并管理全区统计信息自动化系统和统计数据库系统，组织制定全区统计数据库和网络的基本标准和运行规则，指导全区统计信息化系统建设；指导各基层单位加强统计基础建设。（</w:t>
      </w:r>
      <w:r>
        <w:rPr>
          <w:rFonts w:hint="eastAsia" w:ascii="仿宋" w:hAnsi="仿宋" w:eastAsia="仿宋"/>
          <w:color w:val="auto"/>
          <w:kern w:val="2"/>
          <w:sz w:val="32"/>
          <w:lang w:val="en-US" w:eastAsia="zh-CN"/>
        </w:rPr>
        <w:t>8</w:t>
      </w:r>
      <w:r>
        <w:rPr>
          <w:rFonts w:hint="eastAsia" w:ascii="仿宋" w:hAnsi="仿宋" w:eastAsia="仿宋"/>
          <w:color w:val="auto"/>
          <w:kern w:val="2"/>
          <w:sz w:val="32"/>
        </w:rPr>
        <w:t>）负责将安全生产责任事故等统计信息按国家有关规定发布。（</w:t>
      </w:r>
      <w:r>
        <w:rPr>
          <w:rFonts w:hint="eastAsia" w:ascii="仿宋" w:hAnsi="仿宋" w:eastAsia="仿宋"/>
          <w:color w:val="auto"/>
          <w:kern w:val="2"/>
          <w:sz w:val="32"/>
          <w:lang w:val="en-US" w:eastAsia="zh-CN"/>
        </w:rPr>
        <w:t>9</w:t>
      </w:r>
      <w:r>
        <w:rPr>
          <w:rFonts w:hint="eastAsia" w:ascii="仿宋" w:hAnsi="仿宋" w:eastAsia="仿宋"/>
          <w:color w:val="auto"/>
          <w:kern w:val="2"/>
          <w:sz w:val="32"/>
        </w:rPr>
        <w:t>）承办区委、区政府和上级主管部门交办的其他事项。</w:t>
      </w:r>
    </w:p>
    <w:p>
      <w:pPr>
        <w:keepNext w:val="0"/>
        <w:keepLines w:val="0"/>
        <w:suppressLineNumbers w:val="0"/>
        <w:shd w:val="clear" w:color="auto" w:fill="auto"/>
        <w:spacing w:beforeLines="0" w:afterLines="0" w:line="520" w:lineRule="exact"/>
        <w:ind w:firstLine="643"/>
        <w:jc w:val="left"/>
        <w:rPr>
          <w:rFonts w:hint="default" w:ascii="Times New Roman" w:hAnsi="Times New Roman" w:eastAsia="Times New Roman"/>
          <w:color w:val="auto"/>
          <w:sz w:val="32"/>
        </w:rPr>
      </w:pPr>
      <w:r>
        <w:rPr>
          <w:rFonts w:hint="eastAsia" w:ascii="仿宋" w:hAnsi="仿宋" w:eastAsia="仿宋"/>
          <w:color w:val="auto"/>
          <w:sz w:val="32"/>
        </w:rPr>
        <w:t>2．机构情况</w:t>
      </w:r>
      <w:r>
        <w:rPr>
          <w:rFonts w:hint="eastAsia" w:ascii="仿宋" w:hAnsi="仿宋" w:eastAsia="仿宋"/>
          <w:color w:val="auto"/>
          <w:sz w:val="32"/>
          <w:lang w:eastAsia="zh-CN"/>
        </w:rPr>
        <w:t>：</w:t>
      </w:r>
      <w:r>
        <w:rPr>
          <w:rFonts w:hint="eastAsia" w:ascii="仿宋" w:hAnsi="仿宋" w:eastAsia="仿宋"/>
          <w:color w:val="auto"/>
          <w:kern w:val="2"/>
          <w:sz w:val="32"/>
        </w:rPr>
        <w:t>本部门由1个行政单位、2个二级机构组成。行政单位具体为：长沙市天心区统计局；二级机构具体为：长沙市天心区</w:t>
      </w:r>
      <w:r>
        <w:rPr>
          <w:rFonts w:hint="eastAsia" w:ascii="仿宋" w:hAnsi="仿宋" w:eastAsia="仿宋"/>
          <w:color w:val="auto"/>
          <w:kern w:val="2"/>
          <w:sz w:val="32"/>
          <w:lang w:eastAsia="zh-CN"/>
        </w:rPr>
        <w:t>统计</w:t>
      </w:r>
      <w:r>
        <w:rPr>
          <w:rFonts w:hint="eastAsia" w:ascii="仿宋" w:hAnsi="仿宋" w:eastAsia="仿宋"/>
          <w:color w:val="auto"/>
          <w:kern w:val="2"/>
          <w:sz w:val="32"/>
        </w:rPr>
        <w:t>普查中心、长沙市天心区城乡调查队；</w:t>
      </w:r>
      <w:r>
        <w:rPr>
          <w:rFonts w:hint="eastAsia" w:ascii="仿宋" w:hAnsi="仿宋" w:eastAsia="仿宋"/>
          <w:color w:val="auto"/>
          <w:kern w:val="2"/>
          <w:sz w:val="32"/>
          <w:lang w:eastAsia="zh-CN"/>
        </w:rPr>
        <w:t>局机关</w:t>
      </w:r>
      <w:r>
        <w:rPr>
          <w:rFonts w:hint="eastAsia" w:ascii="仿宋" w:hAnsi="仿宋" w:eastAsia="仿宋"/>
          <w:color w:val="auto"/>
          <w:kern w:val="2"/>
          <w:sz w:val="32"/>
        </w:rPr>
        <w:t>内设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个职能科（室）</w:t>
      </w:r>
      <w:r>
        <w:rPr>
          <w:rFonts w:hint="eastAsia" w:ascii="仿宋_GB2312" w:hAnsi="仿宋_GB2312" w:cs="仿宋_GB2312"/>
          <w:sz w:val="32"/>
          <w:szCs w:val="32"/>
          <w:lang w:eastAsia="zh-CN"/>
        </w:rPr>
        <w:t>，</w:t>
      </w:r>
      <w:r>
        <w:rPr>
          <w:rFonts w:hint="eastAsia" w:ascii="仿宋" w:hAnsi="仿宋" w:eastAsia="仿宋"/>
          <w:color w:val="auto"/>
          <w:kern w:val="2"/>
          <w:sz w:val="32"/>
        </w:rPr>
        <w:t>具体为：</w:t>
      </w:r>
      <w:r>
        <w:rPr>
          <w:rFonts w:hint="eastAsia" w:ascii="仿宋" w:hAnsi="仿宋" w:eastAsia="仿宋"/>
          <w:color w:val="auto"/>
          <w:sz w:val="32"/>
        </w:rPr>
        <w:t>办公室、核算和综合研究室、统计科、政策法规科。</w:t>
      </w:r>
    </w:p>
    <w:p>
      <w:pPr>
        <w:spacing w:beforeLines="0" w:afterLines="0" w:line="520" w:lineRule="exact"/>
        <w:ind w:firstLine="643"/>
        <w:rPr>
          <w:rFonts w:hint="eastAsia" w:ascii="仿宋_GB2312" w:hAnsi="仿宋_GB2312" w:eastAsia="仿宋_GB2312" w:cs="仿宋_GB2312"/>
          <w:color w:val="000000"/>
          <w:kern w:val="0"/>
          <w:sz w:val="32"/>
          <w:szCs w:val="32"/>
        </w:rPr>
      </w:pPr>
      <w:r>
        <w:rPr>
          <w:rFonts w:hint="eastAsia" w:ascii="仿宋" w:hAnsi="仿宋" w:eastAsia="仿宋"/>
          <w:color w:val="auto"/>
          <w:sz w:val="32"/>
        </w:rPr>
        <w:t>3．人员情况。</w:t>
      </w:r>
      <w:r>
        <w:rPr>
          <w:rFonts w:hint="eastAsia" w:ascii="仿宋_GB2312" w:hAnsi="仿宋_GB2312" w:eastAsia="仿宋_GB2312" w:cs="仿宋_GB2312"/>
          <w:sz w:val="32"/>
          <w:szCs w:val="32"/>
        </w:rPr>
        <w:t>局机关包括下属两个直属事业单位共核定全额拨款</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、事业编制</w:t>
      </w:r>
      <w:r>
        <w:rPr>
          <w:rFonts w:hint="eastAsia" w:ascii="仿宋_GB2312" w:hAnsi="仿宋_GB2312" w:eastAsia="仿宋_GB2312" w:cs="仿宋_GB2312"/>
          <w:sz w:val="32"/>
          <w:szCs w:val="32"/>
          <w:lang w:val="en-US" w:eastAsia="zh-CN"/>
        </w:rPr>
        <w:t>10名，共16名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年全局在职在编干部一共</w:t>
      </w:r>
      <w:r>
        <w:rPr>
          <w:rFonts w:hint="eastAsia" w:ascii="仿宋_GB2312" w:hAnsi="仿宋_GB2312" w:eastAsia="仿宋_GB2312" w:cs="仿宋_GB2312"/>
          <w:color w:val="auto"/>
          <w:sz w:val="32"/>
          <w:lang w:val="en-US" w:eastAsia="zh-CN"/>
        </w:rPr>
        <w:t>16</w:t>
      </w:r>
      <w:r>
        <w:rPr>
          <w:rFonts w:hint="eastAsia" w:ascii="仿宋_GB2312" w:hAnsi="仿宋_GB2312" w:eastAsia="仿宋_GB2312" w:cs="仿宋_GB2312"/>
          <w:color w:val="auto"/>
          <w:sz w:val="32"/>
        </w:rPr>
        <w:t>人，</w:t>
      </w:r>
      <w:r>
        <w:rPr>
          <w:rFonts w:hint="eastAsia" w:ascii="仿宋_GB2312" w:hAnsi="仿宋_GB2312" w:eastAsia="仿宋_GB2312" w:cs="仿宋_GB2312"/>
          <w:color w:val="auto"/>
          <w:sz w:val="32"/>
          <w:lang w:eastAsia="zh-CN"/>
        </w:rPr>
        <w:t>借调人员</w:t>
      </w:r>
      <w:r>
        <w:rPr>
          <w:rFonts w:hint="eastAsia" w:ascii="仿宋_GB2312" w:hAnsi="仿宋_GB2312" w:eastAsia="仿宋_GB2312" w:cs="仿宋_GB2312"/>
          <w:color w:val="auto"/>
          <w:sz w:val="32"/>
          <w:lang w:val="en-US" w:eastAsia="zh-CN"/>
        </w:rPr>
        <w:t>2人，</w:t>
      </w:r>
      <w:r>
        <w:rPr>
          <w:rFonts w:hint="eastAsia" w:ascii="仿宋_GB2312" w:hAnsi="仿宋_GB2312" w:eastAsia="仿宋_GB2312" w:cs="仿宋_GB2312"/>
          <w:sz w:val="32"/>
          <w:szCs w:val="32"/>
        </w:rPr>
        <w:t>聘用人员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人口</w:t>
      </w:r>
      <w:r>
        <w:rPr>
          <w:rFonts w:hint="eastAsia" w:ascii="仿宋_GB2312" w:hAnsi="仿宋_GB2312" w:eastAsia="仿宋_GB2312" w:cs="仿宋_GB2312"/>
          <w:sz w:val="32"/>
          <w:szCs w:val="32"/>
        </w:rPr>
        <w:t>普查员6人</w:t>
      </w:r>
      <w:r>
        <w:rPr>
          <w:rFonts w:hint="eastAsia" w:ascii="仿宋_GB2312" w:hAnsi="仿宋_GB2312" w:eastAsia="仿宋_GB2312" w:cs="仿宋_GB2312"/>
          <w:sz w:val="32"/>
          <w:szCs w:val="32"/>
          <w:lang w:eastAsia="zh-CN"/>
        </w:rPr>
        <w:t>，劳务派遣人员</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color w:val="auto"/>
          <w:sz w:val="32"/>
          <w:lang w:val="en-US" w:eastAsia="zh-CN"/>
        </w:rPr>
        <w:t>。</w:t>
      </w:r>
    </w:p>
    <w:p>
      <w:pPr>
        <w:spacing w:beforeLines="0" w:afterLines="0" w:line="520" w:lineRule="exact"/>
        <w:ind w:firstLine="643"/>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（二）部门整体支出规模、使用方向和主要内容、涉及范围等。</w:t>
      </w:r>
    </w:p>
    <w:p>
      <w:pPr>
        <w:spacing w:beforeLines="0" w:afterLines="0" w:line="52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2021年，本部门年初预算支出654.58万元，比上年减少127.48万元，减少16.3%,</w:t>
      </w:r>
      <w:r>
        <w:rPr>
          <w:rFonts w:hint="eastAsia" w:ascii="仿宋_GB2312" w:hAnsi="仿宋_GB2312" w:eastAsia="仿宋_GB2312" w:cs="仿宋_GB2312"/>
          <w:sz w:val="32"/>
          <w:szCs w:val="32"/>
          <w:lang w:val="zh-CN" w:eastAsia="zh-CN"/>
        </w:rPr>
        <w:t>增减变化的主要原因是</w:t>
      </w:r>
      <w:r>
        <w:rPr>
          <w:rFonts w:hint="eastAsia" w:ascii="仿宋_GB2312" w:hAnsi="仿宋_GB2312" w:eastAsia="仿宋_GB2312" w:cs="仿宋_GB2312"/>
          <w:sz w:val="32"/>
          <w:szCs w:val="32"/>
          <w:lang w:val="en-US" w:eastAsia="zh-CN"/>
        </w:rPr>
        <w:t>：减少了普查工作经费。</w:t>
      </w:r>
    </w:p>
    <w:p>
      <w:pPr>
        <w:spacing w:beforeLines="0" w:afterLines="0" w:line="52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2021年，本部门支出920.58万元，</w:t>
      </w:r>
      <w:r>
        <w:rPr>
          <w:rFonts w:hint="eastAsia" w:ascii="仿宋_GB2312" w:hAnsi="仿宋_GB2312" w:cs="仿宋_GB2312"/>
          <w:sz w:val="32"/>
          <w:szCs w:val="32"/>
          <w:lang w:val="en-US" w:eastAsia="zh-CN"/>
        </w:rPr>
        <w:t>与</w:t>
      </w:r>
      <w:r>
        <w:rPr>
          <w:rFonts w:hint="eastAsia" w:ascii="仿宋_GB2312" w:hAnsi="仿宋_GB2312" w:eastAsia="仿宋_GB2312" w:cs="仿宋_GB2312"/>
          <w:sz w:val="32"/>
          <w:szCs w:val="32"/>
          <w:lang w:val="en-US" w:eastAsia="zh-CN"/>
        </w:rPr>
        <w:t>上年基本持平。其中：基本支出完成635.36万元，比上年减少11.6万元。项目支出285.22万元，</w:t>
      </w:r>
      <w:r>
        <w:rPr>
          <w:rFonts w:hint="eastAsia" w:ascii="仿宋_GB2312" w:hAnsi="仿宋_GB2312" w:cs="仿宋_GB2312"/>
          <w:sz w:val="32"/>
          <w:szCs w:val="32"/>
          <w:lang w:val="en-US" w:eastAsia="zh-CN"/>
        </w:rPr>
        <w:t>与</w:t>
      </w:r>
      <w:r>
        <w:rPr>
          <w:rFonts w:hint="eastAsia" w:ascii="仿宋_GB2312" w:hAnsi="仿宋_GB2312" w:eastAsia="仿宋_GB2312" w:cs="仿宋_GB2312"/>
          <w:sz w:val="32"/>
          <w:szCs w:val="32"/>
          <w:lang w:val="en-US" w:eastAsia="zh-CN"/>
        </w:rPr>
        <w:t>上年基本持平。</w:t>
      </w:r>
    </w:p>
    <w:p>
      <w:pPr>
        <w:spacing w:beforeLines="0" w:afterLines="0" w:line="520" w:lineRule="exact"/>
        <w:ind w:firstLine="64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2021年全局着重做好以下几方面工作：一、扎实推进人口普查及调查工作；二、夯实统计基层基础；三、加强统计法制建设</w:t>
      </w:r>
      <w:r>
        <w:rPr>
          <w:rFonts w:hint="eastAsia" w:ascii="仿宋_GB2312" w:hAnsi="仿宋_GB2312" w:cs="仿宋_GB2312"/>
          <w:sz w:val="32"/>
          <w:szCs w:val="32"/>
          <w:lang w:val="en-US" w:eastAsia="zh-CN"/>
        </w:rPr>
        <w:t>、依法治统宣传</w:t>
      </w:r>
      <w:r>
        <w:rPr>
          <w:rFonts w:hint="eastAsia" w:ascii="仿宋_GB2312" w:hAnsi="仿宋_GB2312" w:eastAsia="仿宋_GB2312" w:cs="仿宋_GB2312"/>
          <w:sz w:val="32"/>
          <w:szCs w:val="32"/>
          <w:lang w:val="en-US" w:eastAsia="zh-CN"/>
        </w:rPr>
        <w:t>；四、强化统计监测分析；五、</w:t>
      </w:r>
      <w:r>
        <w:rPr>
          <w:rFonts w:hint="eastAsia" w:ascii="仿宋_GB2312" w:hAnsi="仿宋_GB2312" w:cs="仿宋_GB2312"/>
          <w:sz w:val="32"/>
          <w:szCs w:val="32"/>
          <w:lang w:val="en-US" w:eastAsia="zh-CN"/>
        </w:rPr>
        <w:t>创新统计工作方法</w:t>
      </w:r>
      <w:r>
        <w:rPr>
          <w:rFonts w:hint="eastAsia" w:ascii="仿宋_GB2312" w:hAnsi="仿宋_GB2312" w:eastAsia="仿宋_GB2312" w:cs="仿宋_GB2312"/>
          <w:sz w:val="32"/>
          <w:szCs w:val="32"/>
          <w:lang w:val="en-US" w:eastAsia="zh-CN"/>
        </w:rPr>
        <w:t>。</w:t>
      </w:r>
    </w:p>
    <w:p>
      <w:pPr>
        <w:pStyle w:val="5"/>
        <w:widowControl/>
        <w:numPr>
          <w:ilvl w:val="0"/>
          <w:numId w:val="0"/>
        </w:numPr>
        <w:spacing w:line="540" w:lineRule="exact"/>
        <w:ind w:left="640" w:leftChars="0"/>
        <w:rPr>
          <w:rFonts w:eastAsia="黑体"/>
          <w:sz w:val="32"/>
          <w:szCs w:val="32"/>
        </w:rPr>
      </w:pPr>
      <w:r>
        <w:rPr>
          <w:rFonts w:hint="eastAsia" w:eastAsia="黑体"/>
          <w:sz w:val="32"/>
          <w:szCs w:val="32"/>
          <w:lang w:eastAsia="zh-CN"/>
        </w:rPr>
        <w:t>二、</w:t>
      </w:r>
      <w:r>
        <w:rPr>
          <w:rFonts w:eastAsia="黑体"/>
          <w:sz w:val="32"/>
          <w:szCs w:val="32"/>
        </w:rPr>
        <w:t>一般公共预算支出情况</w:t>
      </w:r>
    </w:p>
    <w:p>
      <w:pPr>
        <w:widowControl/>
        <w:numPr>
          <w:ilvl w:val="0"/>
          <w:numId w:val="2"/>
        </w:numPr>
        <w:snapToGrid w:val="0"/>
        <w:spacing w:line="540" w:lineRule="exact"/>
        <w:ind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基本支出</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r>
        <w:rPr>
          <w:rFonts w:hint="eastAsia" w:ascii="仿宋_GB2312" w:hAnsi="仿宋_GB2312" w:cs="仿宋_GB2312"/>
          <w:kern w:val="2"/>
          <w:sz w:val="32"/>
          <w:szCs w:val="32"/>
          <w:lang w:val="en-US" w:eastAsia="zh-CN" w:bidi="ar-SA"/>
        </w:rPr>
        <w:t>21</w:t>
      </w:r>
      <w:r>
        <w:rPr>
          <w:rFonts w:hint="eastAsia" w:ascii="仿宋_GB2312" w:hAnsi="仿宋_GB2312" w:eastAsia="仿宋_GB2312" w:cs="仿宋_GB2312"/>
          <w:kern w:val="2"/>
          <w:sz w:val="32"/>
          <w:szCs w:val="32"/>
          <w:lang w:val="en-US" w:eastAsia="zh-CN" w:bidi="ar-SA"/>
        </w:rPr>
        <w:t>年部门预算基本支出</w:t>
      </w:r>
      <w:r>
        <w:rPr>
          <w:rFonts w:hint="eastAsia" w:ascii="仿宋_GB2312" w:hAnsi="仿宋_GB2312" w:cs="仿宋_GB2312"/>
          <w:kern w:val="2"/>
          <w:sz w:val="32"/>
          <w:szCs w:val="32"/>
          <w:lang w:val="en-US" w:eastAsia="zh-CN" w:bidi="ar-SA"/>
        </w:rPr>
        <w:t>398.92</w:t>
      </w:r>
      <w:r>
        <w:rPr>
          <w:rFonts w:hint="eastAsia" w:ascii="仿宋_GB2312" w:hAnsi="仿宋_GB2312" w:eastAsia="仿宋_GB2312" w:cs="仿宋_GB2312"/>
          <w:kern w:val="2"/>
          <w:sz w:val="32"/>
          <w:szCs w:val="32"/>
          <w:lang w:val="en-US" w:eastAsia="zh-CN" w:bidi="ar-SA"/>
        </w:rPr>
        <w:t>万元，其中：工资福利支出</w:t>
      </w:r>
      <w:r>
        <w:rPr>
          <w:rFonts w:hint="eastAsia" w:ascii="仿宋_GB2312" w:hAnsi="仿宋_GB2312" w:cs="仿宋_GB2312"/>
          <w:kern w:val="2"/>
          <w:sz w:val="32"/>
          <w:szCs w:val="32"/>
          <w:lang w:val="en-US" w:eastAsia="zh-CN" w:bidi="ar-SA"/>
        </w:rPr>
        <w:t>336.04</w:t>
      </w:r>
      <w:r>
        <w:rPr>
          <w:rFonts w:hint="eastAsia" w:ascii="仿宋_GB2312" w:hAnsi="仿宋_GB2312" w:eastAsia="仿宋_GB2312" w:cs="仿宋_GB2312"/>
          <w:kern w:val="2"/>
          <w:sz w:val="32"/>
          <w:szCs w:val="32"/>
          <w:lang w:val="en-US" w:eastAsia="zh-CN" w:bidi="ar-SA"/>
        </w:rPr>
        <w:t>万元、商品和服务支出</w:t>
      </w:r>
      <w:r>
        <w:rPr>
          <w:rFonts w:hint="eastAsia" w:ascii="仿宋_GB2312" w:hAnsi="仿宋_GB2312" w:cs="仿宋_GB2312"/>
          <w:kern w:val="2"/>
          <w:sz w:val="32"/>
          <w:szCs w:val="32"/>
          <w:lang w:val="en-US" w:eastAsia="zh-CN" w:bidi="ar-SA"/>
        </w:rPr>
        <w:t>58.10</w:t>
      </w:r>
      <w:r>
        <w:rPr>
          <w:rFonts w:hint="eastAsia" w:ascii="仿宋_GB2312" w:hAnsi="仿宋_GB2312" w:eastAsia="仿宋_GB2312" w:cs="仿宋_GB2312"/>
          <w:kern w:val="2"/>
          <w:sz w:val="32"/>
          <w:szCs w:val="32"/>
          <w:lang w:val="en-US" w:eastAsia="zh-CN" w:bidi="ar-SA"/>
        </w:rPr>
        <w:t>万元、对个人和家庭的补助</w:t>
      </w:r>
      <w:r>
        <w:rPr>
          <w:rFonts w:hint="eastAsia" w:ascii="仿宋_GB2312" w:hAnsi="仿宋_GB2312" w:cs="仿宋_GB2312"/>
          <w:kern w:val="2"/>
          <w:sz w:val="32"/>
          <w:szCs w:val="32"/>
          <w:lang w:val="en-US" w:eastAsia="zh-CN" w:bidi="ar-SA"/>
        </w:rPr>
        <w:t>4.78</w:t>
      </w:r>
      <w:r>
        <w:rPr>
          <w:rFonts w:hint="eastAsia" w:ascii="仿宋_GB2312" w:hAnsi="仿宋_GB2312" w:eastAsia="仿宋_GB2312" w:cs="仿宋_GB2312"/>
          <w:kern w:val="2"/>
          <w:sz w:val="32"/>
          <w:szCs w:val="32"/>
          <w:lang w:val="en-US" w:eastAsia="zh-CN" w:bidi="ar-SA"/>
        </w:rPr>
        <w:t>万元。</w:t>
      </w:r>
    </w:p>
    <w:p>
      <w:pPr>
        <w:spacing w:beforeLines="0" w:afterLines="0" w:line="520" w:lineRule="exact"/>
        <w:ind w:firstLine="640"/>
        <w:rPr>
          <w:rFonts w:hint="eastAsia" w:ascii="楷体_GB2312" w:hAnsi="楷体_GB2312" w:eastAsia="楷体_GB2312" w:cs="楷体_GB2312"/>
          <w:color w:val="000000"/>
          <w:sz w:val="32"/>
          <w:szCs w:val="32"/>
        </w:rPr>
      </w:pPr>
      <w:r>
        <w:rPr>
          <w:rFonts w:hint="eastAsia" w:ascii="仿宋_GB2312" w:hAnsi="仿宋_GB2312" w:cs="仿宋_GB2312"/>
          <w:kern w:val="2"/>
          <w:sz w:val="32"/>
          <w:szCs w:val="32"/>
          <w:lang w:val="en-US" w:eastAsia="zh-CN" w:bidi="ar-SA"/>
        </w:rPr>
        <w:t>2021</w:t>
      </w:r>
      <w:r>
        <w:rPr>
          <w:rFonts w:hint="eastAsia" w:ascii="仿宋_GB2312" w:hAnsi="仿宋_GB2312" w:eastAsia="仿宋_GB2312" w:cs="仿宋_GB2312"/>
          <w:kern w:val="2"/>
          <w:sz w:val="32"/>
          <w:szCs w:val="32"/>
          <w:lang w:val="en-US" w:eastAsia="zh-CN" w:bidi="ar-SA"/>
        </w:rPr>
        <w:t>年基本支出决算数</w:t>
      </w:r>
      <w:r>
        <w:rPr>
          <w:rFonts w:hint="eastAsia" w:ascii="仿宋_GB2312" w:hAnsi="仿宋_GB2312" w:cs="仿宋_GB2312"/>
          <w:kern w:val="2"/>
          <w:sz w:val="32"/>
          <w:szCs w:val="32"/>
          <w:lang w:val="en-US" w:eastAsia="zh-CN" w:bidi="ar-SA"/>
        </w:rPr>
        <w:t>635.36</w:t>
      </w:r>
      <w:r>
        <w:rPr>
          <w:rFonts w:hint="eastAsia" w:ascii="仿宋_GB2312" w:hAnsi="仿宋_GB2312" w:eastAsia="仿宋_GB2312" w:cs="仿宋_GB2312"/>
          <w:kern w:val="2"/>
          <w:sz w:val="32"/>
          <w:szCs w:val="32"/>
          <w:lang w:val="en-US" w:eastAsia="zh-CN" w:bidi="ar-SA"/>
        </w:rPr>
        <w:t>万元，其中：工资福利支出</w:t>
      </w:r>
      <w:r>
        <w:rPr>
          <w:rFonts w:hint="eastAsia" w:ascii="仿宋_GB2312" w:hAnsi="仿宋_GB2312" w:cs="仿宋_GB2312"/>
          <w:kern w:val="2"/>
          <w:sz w:val="32"/>
          <w:szCs w:val="32"/>
          <w:lang w:val="en-US" w:eastAsia="zh-CN" w:bidi="ar-SA"/>
        </w:rPr>
        <w:t>564.90</w:t>
      </w:r>
      <w:r>
        <w:rPr>
          <w:rFonts w:hint="eastAsia" w:ascii="仿宋_GB2312" w:hAnsi="仿宋_GB2312" w:eastAsia="仿宋_GB2312" w:cs="仿宋_GB2312"/>
          <w:kern w:val="2"/>
          <w:sz w:val="32"/>
          <w:szCs w:val="32"/>
          <w:lang w:val="en-US" w:eastAsia="zh-CN" w:bidi="ar-SA"/>
        </w:rPr>
        <w:t>万元、商品和服务支出</w:t>
      </w:r>
      <w:r>
        <w:rPr>
          <w:rFonts w:hint="eastAsia" w:ascii="仿宋_GB2312" w:hAnsi="仿宋_GB2312" w:cs="仿宋_GB2312"/>
          <w:kern w:val="2"/>
          <w:sz w:val="32"/>
          <w:szCs w:val="32"/>
          <w:lang w:val="en-US" w:eastAsia="zh-CN" w:bidi="ar-SA"/>
        </w:rPr>
        <w:t>45.64</w:t>
      </w:r>
      <w:r>
        <w:rPr>
          <w:rFonts w:hint="eastAsia" w:ascii="仿宋_GB2312" w:hAnsi="仿宋_GB2312" w:eastAsia="仿宋_GB2312" w:cs="仿宋_GB2312"/>
          <w:kern w:val="2"/>
          <w:sz w:val="32"/>
          <w:szCs w:val="32"/>
          <w:lang w:val="en-US" w:eastAsia="zh-CN" w:bidi="ar-SA"/>
        </w:rPr>
        <w:t>万元、对个人和家庭的补助</w:t>
      </w:r>
      <w:r>
        <w:rPr>
          <w:rFonts w:hint="eastAsia" w:ascii="仿宋_GB2312" w:hAnsi="仿宋_GB2312" w:cs="仿宋_GB2312"/>
          <w:kern w:val="2"/>
          <w:sz w:val="32"/>
          <w:szCs w:val="32"/>
          <w:lang w:val="en-US" w:eastAsia="zh-CN" w:bidi="ar-SA"/>
        </w:rPr>
        <w:t>24.30</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cs="仿宋_GB2312"/>
          <w:kern w:val="2"/>
          <w:sz w:val="32"/>
          <w:szCs w:val="32"/>
          <w:lang w:val="en-US" w:eastAsia="zh-CN" w:bidi="ar-SA"/>
        </w:rPr>
        <w:t>、资本性支出0.51万元</w:t>
      </w:r>
      <w:r>
        <w:rPr>
          <w:rFonts w:hint="eastAsia" w:ascii="仿宋_GB2312" w:hAnsi="仿宋_GB2312" w:eastAsia="仿宋_GB2312" w:cs="仿宋_GB2312"/>
          <w:kern w:val="2"/>
          <w:sz w:val="32"/>
          <w:szCs w:val="32"/>
          <w:lang w:val="en-US" w:eastAsia="zh-CN" w:bidi="ar-SA"/>
        </w:rPr>
        <w:t>。基本支出是用于为保障机构正常运转、完成日常工作任务而发生的支出，包括人员经费和公用经费。</w:t>
      </w:r>
      <w:r>
        <w:rPr>
          <w:rFonts w:hint="eastAsia" w:ascii="仿宋_GB2312" w:hAnsi="仿宋_GB2312" w:cs="仿宋_GB2312"/>
          <w:kern w:val="2"/>
          <w:sz w:val="32"/>
          <w:szCs w:val="32"/>
          <w:lang w:val="en-US" w:eastAsia="zh-CN" w:bidi="ar-SA"/>
        </w:rPr>
        <w:t>2021</w:t>
      </w:r>
      <w:r>
        <w:rPr>
          <w:rFonts w:hint="eastAsia" w:ascii="仿宋_GB2312" w:hAnsi="仿宋_GB2312" w:eastAsia="仿宋_GB2312" w:cs="仿宋_GB2312"/>
          <w:kern w:val="2"/>
          <w:sz w:val="32"/>
          <w:szCs w:val="32"/>
          <w:lang w:val="en-US" w:eastAsia="zh-CN" w:bidi="ar-SA"/>
        </w:rPr>
        <w:t>年度本单位人员经费</w:t>
      </w:r>
      <w:r>
        <w:rPr>
          <w:rFonts w:hint="eastAsia" w:ascii="仿宋_GB2312" w:hAnsi="仿宋_GB2312" w:cs="仿宋_GB2312"/>
          <w:kern w:val="2"/>
          <w:sz w:val="32"/>
          <w:szCs w:val="32"/>
          <w:lang w:val="en-US" w:eastAsia="zh-CN" w:bidi="ar-SA"/>
        </w:rPr>
        <w:t>589.20</w:t>
      </w:r>
      <w:r>
        <w:rPr>
          <w:rFonts w:hint="eastAsia" w:ascii="仿宋_GB2312" w:hAnsi="仿宋_GB2312" w:eastAsia="仿宋_GB2312" w:cs="仿宋_GB2312"/>
          <w:kern w:val="2"/>
          <w:sz w:val="32"/>
          <w:szCs w:val="32"/>
          <w:lang w:val="en-US" w:eastAsia="zh-CN" w:bidi="ar-SA"/>
        </w:rPr>
        <w:t>万元占基本支出比例</w:t>
      </w:r>
      <w:r>
        <w:rPr>
          <w:rFonts w:hint="eastAsia" w:ascii="仿宋_GB2312" w:hAnsi="仿宋_GB2312" w:cs="仿宋_GB2312"/>
          <w:kern w:val="2"/>
          <w:sz w:val="32"/>
          <w:szCs w:val="32"/>
          <w:lang w:val="en-US" w:eastAsia="zh-CN" w:bidi="ar-SA"/>
        </w:rPr>
        <w:t>92.73</w:t>
      </w:r>
      <w:r>
        <w:rPr>
          <w:rFonts w:hint="eastAsia" w:ascii="仿宋_GB2312" w:hAnsi="仿宋_GB2312" w:eastAsia="仿宋_GB2312" w:cs="仿宋_GB2312"/>
          <w:kern w:val="2"/>
          <w:sz w:val="32"/>
          <w:szCs w:val="32"/>
          <w:lang w:val="en-US" w:eastAsia="zh-CN" w:bidi="ar-SA"/>
        </w:rPr>
        <w:t>%，较年初预算超支比例较大的主要原因是本年度进行了工资及其他福利调整；公用经费支出</w:t>
      </w:r>
      <w:r>
        <w:rPr>
          <w:rFonts w:hint="eastAsia" w:ascii="仿宋_GB2312" w:hAnsi="仿宋_GB2312" w:cs="仿宋_GB2312"/>
          <w:kern w:val="2"/>
          <w:sz w:val="32"/>
          <w:szCs w:val="32"/>
          <w:lang w:val="en-US" w:eastAsia="zh-CN" w:bidi="ar-SA"/>
        </w:rPr>
        <w:t>46.16</w:t>
      </w:r>
      <w:r>
        <w:rPr>
          <w:rFonts w:hint="eastAsia" w:ascii="仿宋_GB2312" w:hAnsi="仿宋_GB2312" w:eastAsia="仿宋_GB2312" w:cs="仿宋_GB2312"/>
          <w:kern w:val="2"/>
          <w:sz w:val="32"/>
          <w:szCs w:val="32"/>
          <w:lang w:val="en-US" w:eastAsia="zh-CN" w:bidi="ar-SA"/>
        </w:rPr>
        <w:t>万元占基本支出比例</w:t>
      </w:r>
      <w:r>
        <w:rPr>
          <w:rFonts w:hint="eastAsia" w:ascii="仿宋_GB2312" w:hAnsi="仿宋_GB2312" w:cs="仿宋_GB2312"/>
          <w:kern w:val="2"/>
          <w:sz w:val="32"/>
          <w:szCs w:val="32"/>
          <w:lang w:val="en-US" w:eastAsia="zh-CN" w:bidi="ar-SA"/>
        </w:rPr>
        <w:t>7.27</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本年度</w:t>
      </w:r>
      <w:r>
        <w:rPr>
          <w:rFonts w:hint="eastAsia" w:ascii="仿宋_GB2312" w:hAnsi="仿宋_GB2312" w:cs="仿宋_GB2312"/>
          <w:kern w:val="2"/>
          <w:sz w:val="32"/>
          <w:szCs w:val="32"/>
          <w:lang w:val="en-US" w:eastAsia="zh-CN" w:bidi="ar-SA"/>
        </w:rPr>
        <w:t>公务接待</w:t>
      </w:r>
      <w:r>
        <w:rPr>
          <w:rFonts w:hint="eastAsia" w:ascii="仿宋_GB2312" w:hAnsi="仿宋_GB2312" w:eastAsia="仿宋_GB2312" w:cs="仿宋_GB2312"/>
          <w:kern w:val="2"/>
          <w:sz w:val="32"/>
          <w:szCs w:val="32"/>
          <w:lang w:val="en-US" w:eastAsia="zh-CN" w:bidi="ar-SA"/>
        </w:rPr>
        <w:t>费支出</w:t>
      </w:r>
      <w:r>
        <w:rPr>
          <w:rFonts w:hint="eastAsia" w:ascii="仿宋_GB2312" w:hAnsi="仿宋_GB2312" w:cs="仿宋_GB2312"/>
          <w:kern w:val="2"/>
          <w:sz w:val="32"/>
          <w:szCs w:val="32"/>
          <w:lang w:val="en-US" w:eastAsia="zh-CN" w:bidi="ar-SA"/>
        </w:rPr>
        <w:t>1.86万元，</w:t>
      </w:r>
      <w:r>
        <w:rPr>
          <w:rFonts w:hint="eastAsia" w:ascii="仿宋_GB2312" w:hAnsi="仿宋_GB2312" w:eastAsia="仿宋_GB2312" w:cs="仿宋_GB2312"/>
          <w:kern w:val="2"/>
          <w:sz w:val="32"/>
          <w:szCs w:val="32"/>
          <w:lang w:val="en-US" w:eastAsia="zh-CN" w:bidi="ar-SA"/>
        </w:rPr>
        <w:t>比上年增加</w:t>
      </w:r>
      <w:r>
        <w:rPr>
          <w:rFonts w:hint="eastAsia" w:ascii="仿宋_GB2312" w:hAnsi="仿宋_GB2312" w:cs="仿宋_GB2312"/>
          <w:kern w:val="2"/>
          <w:sz w:val="32"/>
          <w:szCs w:val="32"/>
          <w:lang w:val="en-US" w:eastAsia="zh-CN" w:bidi="ar-SA"/>
        </w:rPr>
        <w:t>1.6</w:t>
      </w:r>
      <w:r>
        <w:rPr>
          <w:rFonts w:hint="eastAsia" w:ascii="仿宋_GB2312" w:hAnsi="仿宋_GB2312" w:eastAsia="仿宋_GB2312" w:cs="仿宋_GB2312"/>
          <w:kern w:val="2"/>
          <w:sz w:val="32"/>
          <w:szCs w:val="32"/>
          <w:lang w:val="en-US" w:eastAsia="zh-CN" w:bidi="ar-SA"/>
        </w:rPr>
        <w:t>万元，</w:t>
      </w:r>
      <w:r>
        <w:rPr>
          <w:rFonts w:hint="eastAsia" w:ascii="仿宋_GB2312" w:hAnsi="仿宋_GB2312" w:cs="仿宋_GB2312"/>
          <w:kern w:val="2"/>
          <w:sz w:val="32"/>
          <w:szCs w:val="32"/>
          <w:lang w:val="en-US" w:eastAsia="zh-CN" w:bidi="ar-SA"/>
        </w:rPr>
        <w:t>增加的原因是</w:t>
      </w:r>
      <w:r>
        <w:rPr>
          <w:rFonts w:hint="eastAsia" w:ascii="仿宋" w:hAnsi="仿宋" w:eastAsia="仿宋"/>
          <w:color w:val="auto"/>
          <w:sz w:val="32"/>
          <w:lang w:val="en-US"/>
        </w:rPr>
        <w:t>本年度</w:t>
      </w:r>
      <w:r>
        <w:rPr>
          <w:rFonts w:hint="eastAsia" w:ascii="仿宋" w:hAnsi="仿宋" w:eastAsia="仿宋"/>
          <w:color w:val="auto"/>
          <w:sz w:val="32"/>
          <w:lang w:val="en-US" w:eastAsia="zh-CN"/>
        </w:rPr>
        <w:t>接待了3次国家统计局的调研</w:t>
      </w:r>
      <w:r>
        <w:rPr>
          <w:rFonts w:hint="eastAsia" w:ascii="仿宋" w:hAnsi="仿宋" w:eastAsia="仿宋"/>
          <w:color w:val="auto"/>
          <w:sz w:val="32"/>
          <w:lang w:val="zh-CN"/>
        </w:rPr>
        <w:t>。三公经费全部为公务接待费。</w:t>
      </w:r>
    </w:p>
    <w:p>
      <w:pPr>
        <w:widowControl/>
        <w:numPr>
          <w:ilvl w:val="0"/>
          <w:numId w:val="2"/>
        </w:numPr>
        <w:snapToGrid w:val="0"/>
        <w:spacing w:line="540" w:lineRule="exact"/>
        <w:ind w:left="0" w:leftChars="0"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项目支出</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rPr>
        <w:t>年部门预算项目支出</w:t>
      </w:r>
      <w:r>
        <w:rPr>
          <w:rFonts w:hint="eastAsia" w:ascii="仿宋_GB2312"/>
          <w:color w:val="auto"/>
          <w:sz w:val="32"/>
          <w:szCs w:val="32"/>
          <w:lang w:val="en-US" w:eastAsia="zh-CN"/>
        </w:rPr>
        <w:t>255.65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业务工作经费</w:t>
      </w:r>
      <w:r>
        <w:rPr>
          <w:rFonts w:hint="eastAsia" w:ascii="仿宋_GB2312" w:hAnsi="仿宋_GB2312" w:eastAsia="仿宋_GB2312" w:cs="仿宋_GB2312"/>
          <w:sz w:val="32"/>
          <w:szCs w:val="32"/>
        </w:rPr>
        <w:t>支出</w:t>
      </w:r>
      <w:r>
        <w:rPr>
          <w:rFonts w:hint="eastAsia" w:ascii="仿宋_GB2312" w:hAnsi="仿宋_GB2312" w:cs="仿宋_GB2312"/>
          <w:sz w:val="32"/>
          <w:szCs w:val="32"/>
          <w:lang w:val="en-US" w:eastAsia="zh-CN"/>
        </w:rPr>
        <w:t>137.65</w:t>
      </w:r>
      <w:r>
        <w:rPr>
          <w:rFonts w:hint="eastAsia" w:ascii="仿宋_GB2312" w:hAnsi="仿宋_GB2312" w:eastAsia="仿宋_GB2312" w:cs="仿宋_GB2312"/>
          <w:sz w:val="32"/>
          <w:szCs w:val="32"/>
        </w:rPr>
        <w:t>万元，专项项目支出</w:t>
      </w:r>
      <w:r>
        <w:rPr>
          <w:rFonts w:hint="eastAsia" w:ascii="仿宋_GB2312" w:hAnsi="仿宋_GB2312" w:cs="仿宋_GB2312"/>
          <w:sz w:val="32"/>
          <w:szCs w:val="32"/>
          <w:lang w:val="en-US" w:eastAsia="zh-CN"/>
        </w:rPr>
        <w:t>118</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cs="仿宋_GB2312"/>
          <w:sz w:val="32"/>
          <w:szCs w:val="32"/>
          <w:lang w:val="en-US" w:eastAsia="zh-CN"/>
        </w:rPr>
        <w:t>2021</w:t>
      </w:r>
      <w:r>
        <w:rPr>
          <w:rFonts w:hint="eastAsia" w:ascii="仿宋_GB2312" w:hAnsi="仿宋_GB2312" w:eastAsia="仿宋_GB2312" w:cs="仿宋_GB2312"/>
          <w:sz w:val="32"/>
          <w:szCs w:val="32"/>
        </w:rPr>
        <w:t>年项目支出决算数</w:t>
      </w:r>
      <w:r>
        <w:rPr>
          <w:rFonts w:hint="eastAsia" w:ascii="仿宋_GB2312" w:hAnsi="仿宋_GB2312" w:cs="仿宋_GB2312"/>
          <w:sz w:val="32"/>
          <w:szCs w:val="32"/>
          <w:lang w:val="en-US" w:eastAsia="zh-CN"/>
        </w:rPr>
        <w:t>285.22</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业务工作经费</w:t>
      </w:r>
      <w:r>
        <w:rPr>
          <w:rFonts w:hint="eastAsia" w:ascii="仿宋_GB2312" w:hAnsi="仿宋_GB2312" w:eastAsia="仿宋_GB2312" w:cs="仿宋_GB2312"/>
          <w:color w:val="auto"/>
          <w:sz w:val="32"/>
          <w:szCs w:val="32"/>
        </w:rPr>
        <w:t>支出</w:t>
      </w:r>
      <w:r>
        <w:rPr>
          <w:rFonts w:hint="eastAsia" w:ascii="仿宋_GB2312" w:hAnsi="仿宋_GB2312" w:cs="仿宋_GB2312"/>
          <w:color w:val="auto"/>
          <w:sz w:val="32"/>
          <w:szCs w:val="32"/>
          <w:lang w:val="en-US" w:eastAsia="zh-CN"/>
        </w:rPr>
        <w:t>167.22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，专项项目</w:t>
      </w:r>
      <w:r>
        <w:rPr>
          <w:rFonts w:hint="eastAsia" w:ascii="仿宋_GB2312" w:hAnsi="仿宋_GB2312" w:eastAsia="仿宋_GB2312" w:cs="仿宋_GB2312"/>
          <w:color w:val="auto"/>
          <w:sz w:val="32"/>
          <w:szCs w:val="32"/>
        </w:rPr>
        <w:t>支出</w:t>
      </w:r>
      <w:r>
        <w:rPr>
          <w:rFonts w:hint="eastAsia" w:ascii="仿宋_GB2312" w:hAnsi="仿宋_GB2312" w:cs="仿宋_GB2312"/>
          <w:color w:val="auto"/>
          <w:sz w:val="32"/>
          <w:szCs w:val="32"/>
          <w:lang w:val="en-US" w:eastAsia="zh-CN"/>
        </w:rPr>
        <w:t>118万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业务工作经费</w:t>
      </w:r>
      <w:r>
        <w:rPr>
          <w:rFonts w:hint="eastAsia" w:ascii="仿宋_GB2312" w:hAnsi="仿宋_GB2312" w:eastAsia="仿宋_GB2312" w:cs="仿宋_GB2312"/>
          <w:sz w:val="32"/>
          <w:szCs w:val="32"/>
        </w:rPr>
        <w:t>支出主要用于</w:t>
      </w:r>
      <w:r>
        <w:rPr>
          <w:rFonts w:hint="eastAsia" w:ascii="仿宋_GB2312" w:hAnsi="仿宋_GB2312" w:eastAsia="仿宋_GB2312" w:cs="仿宋_GB2312"/>
          <w:sz w:val="32"/>
          <w:szCs w:val="32"/>
          <w:lang w:eastAsia="zh-CN"/>
        </w:rPr>
        <w:t>党建工作</w:t>
      </w:r>
      <w:r>
        <w:rPr>
          <w:rFonts w:hint="eastAsia" w:ascii="仿宋_GB2312" w:hAnsi="仿宋_GB2312" w:cs="仿宋_GB2312"/>
          <w:sz w:val="32"/>
          <w:szCs w:val="32"/>
          <w:lang w:eastAsia="zh-CN"/>
        </w:rPr>
        <w:t>、第七次人口普查、劳动力</w:t>
      </w:r>
      <w:r>
        <w:rPr>
          <w:rFonts w:hint="eastAsia" w:ascii="仿宋_GB2312" w:hAnsi="仿宋_GB2312" w:eastAsia="仿宋_GB2312" w:cs="仿宋_GB2312"/>
          <w:sz w:val="32"/>
          <w:szCs w:val="32"/>
        </w:rPr>
        <w:t>调查等工作；专项项目支出主要用于社区统计工作。</w:t>
      </w:r>
      <w:r>
        <w:rPr>
          <w:rFonts w:hint="eastAsia" w:ascii="仿宋_GB2312" w:hAnsi="仿宋_GB2312" w:eastAsia="仿宋_GB2312" w:cs="仿宋_GB2312"/>
          <w:color w:val="000000"/>
          <w:kern w:val="0"/>
          <w:sz w:val="32"/>
          <w:szCs w:val="32"/>
        </w:rPr>
        <w:t>项目资金使用严格按照相关规定管理和使用</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支出时实行集中支付，用途合理，手续齐全。坚持专款专用，加强对资金使用情况的管理和检查，</w:t>
      </w:r>
      <w:r>
        <w:rPr>
          <w:rFonts w:hint="eastAsia" w:ascii="仿宋_GB2312" w:hAnsi="仿宋_GB2312" w:cs="仿宋_GB2312"/>
          <w:color w:val="000000"/>
          <w:kern w:val="0"/>
          <w:sz w:val="32"/>
          <w:szCs w:val="32"/>
          <w:lang w:val="en-US" w:eastAsia="zh-CN"/>
        </w:rPr>
        <w:t>没有</w:t>
      </w:r>
      <w:r>
        <w:rPr>
          <w:rFonts w:hint="eastAsia" w:ascii="仿宋_GB2312" w:hAnsi="仿宋_GB2312" w:eastAsia="仿宋_GB2312" w:cs="仿宋_GB2312"/>
          <w:color w:val="000000"/>
          <w:kern w:val="0"/>
          <w:sz w:val="32"/>
          <w:szCs w:val="32"/>
        </w:rPr>
        <w:t>挤占、截留、挪用现象发生。</w:t>
      </w:r>
    </w:p>
    <w:p>
      <w:pPr>
        <w:pStyle w:val="5"/>
        <w:widowControl/>
        <w:numPr>
          <w:ilvl w:val="0"/>
          <w:numId w:val="0"/>
        </w:numPr>
        <w:spacing w:line="540" w:lineRule="exact"/>
        <w:ind w:left="640" w:leftChars="0"/>
        <w:rPr>
          <w:rFonts w:hint="eastAsia" w:eastAsia="黑体"/>
          <w:sz w:val="32"/>
          <w:szCs w:val="32"/>
          <w:lang w:eastAsia="zh-CN"/>
        </w:rPr>
      </w:pPr>
    </w:p>
    <w:p>
      <w:pPr>
        <w:pStyle w:val="5"/>
        <w:widowControl/>
        <w:numPr>
          <w:ilvl w:val="0"/>
          <w:numId w:val="0"/>
        </w:numPr>
        <w:spacing w:line="540" w:lineRule="exact"/>
        <w:ind w:left="640" w:leftChars="0"/>
        <w:rPr>
          <w:rFonts w:hint="eastAsia" w:eastAsia="黑体"/>
          <w:sz w:val="32"/>
          <w:szCs w:val="32"/>
        </w:rPr>
      </w:pPr>
      <w:r>
        <w:rPr>
          <w:rFonts w:hint="eastAsia" w:eastAsia="黑体"/>
          <w:sz w:val="32"/>
          <w:szCs w:val="32"/>
          <w:lang w:eastAsia="zh-CN"/>
        </w:rPr>
        <w:t>三、</w:t>
      </w:r>
      <w:r>
        <w:rPr>
          <w:rFonts w:hint="eastAsia" w:eastAsia="黑体"/>
          <w:sz w:val="32"/>
          <w:szCs w:val="32"/>
        </w:rPr>
        <w:t>资产管理情况</w:t>
      </w:r>
    </w:p>
    <w:p>
      <w:pPr>
        <w:keepNext w:val="0"/>
        <w:keepLines w:val="0"/>
        <w:pageBreakBefore w:val="0"/>
        <w:widowControl w:val="0"/>
        <w:shd w:val="clear" w:color="auto" w:fill="auto"/>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default" w:ascii="楷体_GB2312" w:hAnsi="楷体_GB2312" w:eastAsia="楷体_GB2312" w:cs="楷体_GB2312"/>
          <w:b w:val="0"/>
          <w:bCs/>
          <w:kern w:val="2"/>
          <w:sz w:val="32"/>
          <w:szCs w:val="32"/>
          <w:lang w:val="en-US" w:eastAsia="zh-CN" w:bidi="ar-SA"/>
        </w:rPr>
        <w:t>（一）资产的总体情况分析。</w:t>
      </w:r>
    </w:p>
    <w:p>
      <w:pPr>
        <w:pStyle w:val="6"/>
        <w:keepNext w:val="0"/>
        <w:keepLines w:val="0"/>
        <w:pageBreakBefore w:val="0"/>
        <w:widowControl w:val="0"/>
        <w:numPr>
          <w:ilvl w:val="0"/>
          <w:numId w:val="0"/>
        </w:numPr>
        <w:shd w:val="clear" w:color="auto" w:fill="auto"/>
        <w:tabs>
          <w:tab w:val="left" w:pos="1196"/>
        </w:tabs>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1.资产构成情况。流动资产</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万元，</w:t>
      </w:r>
      <w:r>
        <w:rPr>
          <w:rFonts w:hint="eastAsia" w:ascii="仿宋_GB2312" w:hAnsi="仿宋_GB2312" w:eastAsia="仿宋_GB2312" w:cs="仿宋_GB2312"/>
          <w:color w:val="000000"/>
          <w:spacing w:val="0"/>
          <w:w w:val="100"/>
          <w:position w:val="0"/>
          <w:sz w:val="32"/>
          <w:szCs w:val="32"/>
          <w:lang w:eastAsia="zh-CN"/>
        </w:rPr>
        <w:t>主要是根据财政要求，期末结转资金不再计入年度收入，导致资产减少</w:t>
      </w:r>
      <w:r>
        <w:rPr>
          <w:rFonts w:hint="eastAsia" w:ascii="仿宋_GB2312" w:hAnsi="仿宋_GB2312" w:eastAsia="仿宋_GB2312" w:cs="仿宋_GB2312"/>
          <w:color w:val="000000"/>
          <w:spacing w:val="0"/>
          <w:w w:val="100"/>
          <w:position w:val="0"/>
          <w:sz w:val="32"/>
          <w:szCs w:val="32"/>
        </w:rPr>
        <w:t>；固定资产</w:t>
      </w:r>
      <w:r>
        <w:rPr>
          <w:rFonts w:hint="eastAsia" w:ascii="仿宋_GB2312" w:hAnsi="仿宋_GB2312" w:eastAsia="仿宋_GB2312" w:cs="仿宋_GB2312"/>
          <w:color w:val="000000"/>
          <w:spacing w:val="0"/>
          <w:w w:val="100"/>
          <w:position w:val="0"/>
          <w:sz w:val="32"/>
          <w:szCs w:val="32"/>
          <w:lang w:eastAsia="zh-CN"/>
        </w:rPr>
        <w:t>净值</w:t>
      </w:r>
      <w:r>
        <w:rPr>
          <w:rFonts w:hint="eastAsia" w:ascii="仿宋_GB2312" w:hAnsi="仿宋_GB2312" w:eastAsia="仿宋_GB2312" w:cs="仿宋_GB2312"/>
          <w:color w:val="000000"/>
          <w:spacing w:val="0"/>
          <w:w w:val="100"/>
          <w:position w:val="0"/>
          <w:sz w:val="32"/>
          <w:szCs w:val="32"/>
          <w:lang w:val="en-US" w:eastAsia="zh-CN"/>
        </w:rPr>
        <w:t>20.25</w:t>
      </w:r>
      <w:r>
        <w:rPr>
          <w:rFonts w:hint="eastAsia" w:ascii="仿宋_GB2312" w:hAnsi="仿宋_GB2312" w:eastAsia="仿宋_GB2312" w:cs="仿宋_GB2312"/>
          <w:color w:val="000000"/>
          <w:spacing w:val="0"/>
          <w:w w:val="100"/>
          <w:position w:val="0"/>
          <w:sz w:val="32"/>
          <w:szCs w:val="32"/>
        </w:rPr>
        <w:t>万元</w:t>
      </w:r>
      <w:r>
        <w:rPr>
          <w:rFonts w:hint="eastAsia" w:ascii="仿宋_GB2312" w:hAnsi="仿宋_GB2312" w:eastAsia="仿宋_GB2312" w:cs="仿宋_GB2312"/>
          <w:color w:val="000000"/>
          <w:spacing w:val="0"/>
          <w:w w:val="100"/>
          <w:position w:val="0"/>
          <w:sz w:val="32"/>
          <w:szCs w:val="32"/>
          <w:lang w:eastAsia="zh-CN"/>
        </w:rPr>
        <w:t>。</w:t>
      </w:r>
    </w:p>
    <w:p>
      <w:pPr>
        <w:pStyle w:val="6"/>
        <w:keepNext w:val="0"/>
        <w:keepLines w:val="0"/>
        <w:pageBreakBefore w:val="0"/>
        <w:widowControl w:val="0"/>
        <w:numPr>
          <w:ilvl w:val="0"/>
          <w:numId w:val="0"/>
        </w:numPr>
        <w:shd w:val="clear" w:color="auto" w:fill="auto"/>
        <w:tabs>
          <w:tab w:val="left" w:pos="1196"/>
        </w:tabs>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2.固定资产构成情况。本单位固定资产期末账面数原值为</w:t>
      </w:r>
      <w:r>
        <w:rPr>
          <w:rFonts w:hint="eastAsia" w:ascii="仿宋_GB2312" w:hAnsi="仿宋_GB2312" w:eastAsia="仿宋_GB2312" w:cs="仿宋_GB2312"/>
          <w:color w:val="000000"/>
          <w:spacing w:val="0"/>
          <w:w w:val="100"/>
          <w:position w:val="0"/>
          <w:sz w:val="32"/>
          <w:szCs w:val="32"/>
          <w:lang w:val="en-US" w:eastAsia="zh-CN"/>
        </w:rPr>
        <w:t>63.61</w:t>
      </w:r>
      <w:r>
        <w:rPr>
          <w:rFonts w:hint="eastAsia" w:ascii="仿宋_GB2312" w:hAnsi="仿宋_GB2312" w:eastAsia="仿宋_GB2312" w:cs="仿宋_GB2312"/>
          <w:color w:val="000000"/>
          <w:spacing w:val="0"/>
          <w:w w:val="100"/>
          <w:position w:val="0"/>
          <w:sz w:val="32"/>
          <w:szCs w:val="32"/>
        </w:rPr>
        <w:t>万元，累计折旧</w:t>
      </w:r>
      <w:r>
        <w:rPr>
          <w:rFonts w:hint="eastAsia" w:ascii="仿宋_GB2312" w:hAnsi="仿宋_GB2312" w:eastAsia="仿宋_GB2312" w:cs="仿宋_GB2312"/>
          <w:color w:val="000000"/>
          <w:spacing w:val="0"/>
          <w:w w:val="100"/>
          <w:position w:val="0"/>
          <w:sz w:val="32"/>
          <w:szCs w:val="32"/>
          <w:lang w:val="en-US" w:eastAsia="zh-CN"/>
        </w:rPr>
        <w:t>43.36</w:t>
      </w:r>
      <w:r>
        <w:rPr>
          <w:rFonts w:hint="eastAsia" w:ascii="仿宋_GB2312" w:hAnsi="仿宋_GB2312" w:eastAsia="仿宋_GB2312" w:cs="仿宋_GB2312"/>
          <w:color w:val="000000"/>
          <w:spacing w:val="0"/>
          <w:w w:val="100"/>
          <w:position w:val="0"/>
          <w:sz w:val="32"/>
          <w:szCs w:val="32"/>
        </w:rPr>
        <w:t>万元，净值</w:t>
      </w:r>
      <w:r>
        <w:rPr>
          <w:rFonts w:hint="eastAsia" w:ascii="仿宋_GB2312" w:hAnsi="仿宋_GB2312" w:eastAsia="仿宋_GB2312" w:cs="仿宋_GB2312"/>
          <w:color w:val="000000"/>
          <w:spacing w:val="0"/>
          <w:w w:val="100"/>
          <w:position w:val="0"/>
          <w:sz w:val="32"/>
          <w:szCs w:val="32"/>
          <w:lang w:val="en-US" w:eastAsia="zh-CN"/>
        </w:rPr>
        <w:t>20.25</w:t>
      </w:r>
      <w:r>
        <w:rPr>
          <w:rFonts w:hint="eastAsia" w:ascii="仿宋_GB2312" w:hAnsi="仿宋_GB2312" w:eastAsia="仿宋_GB2312" w:cs="仿宋_GB2312"/>
          <w:color w:val="000000"/>
          <w:spacing w:val="0"/>
          <w:w w:val="100"/>
          <w:position w:val="0"/>
          <w:sz w:val="32"/>
          <w:szCs w:val="32"/>
        </w:rPr>
        <w:t>万元，从结构上看，主要是由通用设备，家具、用具、装具及动植物这</w:t>
      </w:r>
      <w:r>
        <w:rPr>
          <w:rFonts w:hint="eastAsia" w:ascii="仿宋_GB2312" w:hAnsi="仿宋_GB2312" w:eastAsia="仿宋_GB2312" w:cs="仿宋_GB2312"/>
          <w:color w:val="000000"/>
          <w:spacing w:val="0"/>
          <w:w w:val="100"/>
          <w:position w:val="0"/>
          <w:sz w:val="32"/>
          <w:szCs w:val="32"/>
          <w:lang w:eastAsia="zh-CN"/>
        </w:rPr>
        <w:t>两</w:t>
      </w:r>
      <w:r>
        <w:rPr>
          <w:rFonts w:hint="eastAsia" w:ascii="仿宋_GB2312" w:hAnsi="仿宋_GB2312" w:eastAsia="仿宋_GB2312" w:cs="仿宋_GB2312"/>
          <w:color w:val="000000"/>
          <w:spacing w:val="0"/>
          <w:w w:val="100"/>
          <w:position w:val="0"/>
          <w:sz w:val="32"/>
          <w:szCs w:val="32"/>
        </w:rPr>
        <w:t>大部分构成。其中，通用设备</w:t>
      </w:r>
      <w:r>
        <w:rPr>
          <w:rFonts w:hint="eastAsia" w:ascii="仿宋_GB2312" w:hAnsi="仿宋_GB2312" w:eastAsia="仿宋_GB2312" w:cs="仿宋_GB2312"/>
          <w:color w:val="000000"/>
          <w:spacing w:val="0"/>
          <w:w w:val="100"/>
          <w:position w:val="0"/>
          <w:sz w:val="32"/>
          <w:szCs w:val="32"/>
          <w:lang w:eastAsia="zh-CN"/>
        </w:rPr>
        <w:t>原值</w:t>
      </w:r>
      <w:r>
        <w:rPr>
          <w:rFonts w:hint="eastAsia" w:ascii="仿宋_GB2312" w:hAnsi="仿宋_GB2312" w:eastAsia="仿宋_GB2312" w:cs="仿宋_GB2312"/>
          <w:color w:val="000000"/>
          <w:spacing w:val="0"/>
          <w:w w:val="100"/>
          <w:position w:val="0"/>
          <w:sz w:val="32"/>
          <w:szCs w:val="32"/>
          <w:lang w:val="en-US" w:eastAsia="zh-CN"/>
        </w:rPr>
        <w:t>53.91</w:t>
      </w:r>
      <w:r>
        <w:rPr>
          <w:rFonts w:hint="eastAsia" w:ascii="仿宋_GB2312" w:hAnsi="仿宋_GB2312" w:eastAsia="仿宋_GB2312" w:cs="仿宋_GB2312"/>
          <w:color w:val="000000"/>
          <w:spacing w:val="0"/>
          <w:w w:val="100"/>
          <w:position w:val="0"/>
          <w:sz w:val="32"/>
          <w:szCs w:val="32"/>
        </w:rPr>
        <w:t>万元，占</w:t>
      </w:r>
      <w:r>
        <w:rPr>
          <w:rFonts w:hint="eastAsia" w:ascii="仿宋_GB2312" w:hAnsi="仿宋_GB2312" w:eastAsia="仿宋_GB2312" w:cs="仿宋_GB2312"/>
          <w:color w:val="000000"/>
          <w:spacing w:val="0"/>
          <w:w w:val="100"/>
          <w:position w:val="0"/>
          <w:sz w:val="32"/>
          <w:szCs w:val="32"/>
          <w:lang w:val="en-US" w:eastAsia="zh-CN"/>
        </w:rPr>
        <w:t>84.75</w:t>
      </w:r>
      <w:r>
        <w:rPr>
          <w:rFonts w:hint="eastAsia" w:ascii="仿宋_GB2312" w:hAnsi="仿宋_GB2312" w:eastAsia="仿宋_GB2312" w:cs="仿宋_GB2312"/>
          <w:color w:val="000000"/>
          <w:spacing w:val="0"/>
          <w:w w:val="100"/>
          <w:position w:val="0"/>
          <w:sz w:val="32"/>
          <w:szCs w:val="32"/>
        </w:rPr>
        <w:t>%，家具、用具、装具及动植物</w:t>
      </w:r>
      <w:r>
        <w:rPr>
          <w:rFonts w:hint="eastAsia" w:ascii="仿宋_GB2312" w:hAnsi="仿宋_GB2312" w:eastAsia="仿宋_GB2312" w:cs="仿宋_GB2312"/>
          <w:color w:val="000000"/>
          <w:spacing w:val="0"/>
          <w:w w:val="100"/>
          <w:position w:val="0"/>
          <w:sz w:val="32"/>
          <w:szCs w:val="32"/>
          <w:lang w:eastAsia="zh-CN"/>
        </w:rPr>
        <w:t>原值</w:t>
      </w:r>
      <w:r>
        <w:rPr>
          <w:rFonts w:hint="eastAsia" w:ascii="仿宋_GB2312" w:hAnsi="仿宋_GB2312" w:eastAsia="仿宋_GB2312" w:cs="仿宋_GB2312"/>
          <w:color w:val="000000"/>
          <w:spacing w:val="0"/>
          <w:w w:val="100"/>
          <w:position w:val="0"/>
          <w:sz w:val="32"/>
          <w:szCs w:val="32"/>
          <w:lang w:val="en-US" w:eastAsia="zh-CN"/>
        </w:rPr>
        <w:t>9.70</w:t>
      </w:r>
      <w:r>
        <w:rPr>
          <w:rFonts w:hint="eastAsia" w:ascii="仿宋_GB2312" w:hAnsi="仿宋_GB2312" w:eastAsia="仿宋_GB2312" w:cs="仿宋_GB2312"/>
          <w:color w:val="000000"/>
          <w:spacing w:val="0"/>
          <w:w w:val="100"/>
          <w:position w:val="0"/>
          <w:sz w:val="32"/>
          <w:szCs w:val="32"/>
        </w:rPr>
        <w:t>万元，占</w:t>
      </w:r>
      <w:r>
        <w:rPr>
          <w:rFonts w:hint="eastAsia" w:ascii="仿宋_GB2312" w:hAnsi="仿宋_GB2312" w:eastAsia="仿宋_GB2312" w:cs="仿宋_GB2312"/>
          <w:color w:val="000000"/>
          <w:spacing w:val="0"/>
          <w:w w:val="100"/>
          <w:position w:val="0"/>
          <w:sz w:val="32"/>
          <w:szCs w:val="32"/>
          <w:lang w:val="en-US" w:eastAsia="zh-CN"/>
        </w:rPr>
        <w:t>15.25</w:t>
      </w:r>
      <w:r>
        <w:rPr>
          <w:rFonts w:hint="eastAsia" w:ascii="仿宋_GB2312" w:hAnsi="仿宋_GB2312" w:eastAsia="仿宋_GB2312" w:cs="仿宋_GB2312"/>
          <w:color w:val="000000"/>
          <w:spacing w:val="0"/>
          <w:w w:val="100"/>
          <w:position w:val="0"/>
          <w:sz w:val="32"/>
          <w:szCs w:val="32"/>
        </w:rPr>
        <w:t>%。</w:t>
      </w:r>
    </w:p>
    <w:p>
      <w:pPr>
        <w:pStyle w:val="6"/>
        <w:keepNext w:val="0"/>
        <w:keepLines w:val="0"/>
        <w:pageBreakBefore w:val="0"/>
        <w:widowControl w:val="0"/>
        <w:numPr>
          <w:ilvl w:val="0"/>
          <w:numId w:val="0"/>
        </w:numPr>
        <w:shd w:val="clear" w:color="auto" w:fill="auto"/>
        <w:tabs>
          <w:tab w:val="left" w:pos="1196"/>
        </w:tabs>
        <w:kinsoku/>
        <w:wordWrap/>
        <w:overflowPunct/>
        <w:topLinePunct w:val="0"/>
        <w:autoSpaceDE/>
        <w:autoSpaceDN/>
        <w:bidi w:val="0"/>
        <w:adjustRightInd/>
        <w:snapToGrid/>
        <w:spacing w:before="0" w:after="0" w:line="560" w:lineRule="exact"/>
        <w:ind w:leftChars="0" w:right="0" w:rightChars="0" w:firstLine="640" w:firstLineChars="200"/>
        <w:jc w:val="both"/>
        <w:textAlignment w:val="auto"/>
        <w:rPr>
          <w:rFonts w:hint="default" w:ascii="楷体_GB2312" w:hAnsi="楷体_GB2312" w:eastAsia="楷体_GB2312" w:cs="楷体_GB2312"/>
          <w:b w:val="0"/>
          <w:bCs/>
          <w:kern w:val="2"/>
          <w:sz w:val="32"/>
          <w:szCs w:val="32"/>
          <w:lang w:val="en-US" w:eastAsia="zh-CN" w:bidi="ar-SA"/>
        </w:rPr>
      </w:pPr>
      <w:r>
        <w:rPr>
          <w:rFonts w:hint="eastAsia" w:ascii="仿宋_GB2312" w:hAnsi="仿宋_GB2312" w:eastAsia="仿宋_GB2312" w:cs="仿宋_GB2312"/>
          <w:color w:val="000000"/>
          <w:spacing w:val="0"/>
          <w:w w:val="100"/>
          <w:position w:val="0"/>
          <w:sz w:val="32"/>
          <w:szCs w:val="32"/>
        </w:rPr>
        <w:t>3.资产变动情况。本单位</w:t>
      </w:r>
      <w:r>
        <w:rPr>
          <w:rFonts w:hint="eastAsia" w:ascii="仿宋_GB2312" w:hAnsi="仿宋_GB2312" w:eastAsia="仿宋_GB2312" w:cs="仿宋_GB2312"/>
          <w:color w:val="000000"/>
          <w:spacing w:val="0"/>
          <w:w w:val="100"/>
          <w:position w:val="0"/>
          <w:sz w:val="32"/>
          <w:szCs w:val="32"/>
          <w:lang w:eastAsia="zh-CN"/>
        </w:rPr>
        <w:t>固定</w:t>
      </w:r>
      <w:r>
        <w:rPr>
          <w:rFonts w:hint="eastAsia" w:ascii="仿宋_GB2312" w:hAnsi="仿宋_GB2312" w:eastAsia="仿宋_GB2312" w:cs="仿宋_GB2312"/>
          <w:color w:val="000000"/>
          <w:spacing w:val="0"/>
          <w:w w:val="100"/>
          <w:position w:val="0"/>
          <w:sz w:val="32"/>
          <w:szCs w:val="32"/>
        </w:rPr>
        <w:t>资产</w:t>
      </w:r>
      <w:r>
        <w:rPr>
          <w:rFonts w:hint="eastAsia" w:ascii="仿宋_GB2312" w:hAnsi="仿宋_GB2312" w:eastAsia="仿宋_GB2312" w:cs="仿宋_GB2312"/>
          <w:color w:val="000000"/>
          <w:spacing w:val="0"/>
          <w:w w:val="100"/>
          <w:position w:val="0"/>
          <w:sz w:val="32"/>
          <w:szCs w:val="32"/>
          <w:lang w:eastAsia="zh-CN"/>
        </w:rPr>
        <w:t>原值</w:t>
      </w:r>
      <w:r>
        <w:rPr>
          <w:rFonts w:hint="eastAsia" w:ascii="仿宋_GB2312" w:hAnsi="仿宋_GB2312" w:eastAsia="仿宋_GB2312" w:cs="仿宋_GB2312"/>
          <w:color w:val="000000"/>
          <w:spacing w:val="0"/>
          <w:w w:val="100"/>
          <w:position w:val="0"/>
          <w:sz w:val="32"/>
          <w:szCs w:val="32"/>
        </w:rPr>
        <w:t>较上年</w:t>
      </w:r>
      <w:r>
        <w:rPr>
          <w:rFonts w:hint="eastAsia" w:ascii="仿宋_GB2312" w:hAnsi="仿宋_GB2312" w:eastAsia="仿宋_GB2312" w:cs="仿宋_GB2312"/>
          <w:color w:val="000000"/>
          <w:spacing w:val="0"/>
          <w:w w:val="100"/>
          <w:position w:val="0"/>
          <w:sz w:val="32"/>
          <w:szCs w:val="32"/>
          <w:lang w:eastAsia="zh-CN"/>
        </w:rPr>
        <w:t>增加了</w:t>
      </w:r>
      <w:r>
        <w:rPr>
          <w:rFonts w:hint="eastAsia" w:ascii="仿宋_GB2312" w:hAnsi="仿宋_GB2312" w:eastAsia="仿宋_GB2312" w:cs="仿宋_GB2312"/>
          <w:color w:val="000000"/>
          <w:spacing w:val="0"/>
          <w:w w:val="100"/>
          <w:position w:val="0"/>
          <w:sz w:val="32"/>
          <w:szCs w:val="32"/>
          <w:lang w:val="en-US" w:eastAsia="zh-CN"/>
        </w:rPr>
        <w:t>5.73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line="560" w:lineRule="exact"/>
        <w:ind w:firstLine="640" w:firstLineChars="200"/>
        <w:textAlignment w:val="auto"/>
        <w:rPr>
          <w:rFonts w:hint="default" w:ascii="楷体_GB2312" w:hAnsi="楷体_GB2312" w:eastAsia="楷体_GB2312" w:cs="楷体_GB2312"/>
          <w:b w:val="0"/>
          <w:bCs/>
          <w:kern w:val="2"/>
          <w:sz w:val="32"/>
          <w:szCs w:val="32"/>
          <w:lang w:val="en-US" w:eastAsia="zh-CN" w:bidi="ar-SA"/>
        </w:rPr>
      </w:pPr>
      <w:r>
        <w:rPr>
          <w:rFonts w:hint="default" w:ascii="楷体_GB2312" w:hAnsi="楷体_GB2312" w:eastAsia="楷体_GB2312" w:cs="楷体_GB2312"/>
          <w:b w:val="0"/>
          <w:bCs/>
          <w:kern w:val="2"/>
          <w:sz w:val="32"/>
          <w:szCs w:val="32"/>
          <w:lang w:val="en-US" w:eastAsia="zh-CN" w:bidi="ar-SA"/>
        </w:rPr>
        <w:t>（二）资产配置、使用、处置、收益情况分析。</w:t>
      </w:r>
    </w:p>
    <w:p>
      <w:pPr>
        <w:keepNext w:val="0"/>
        <w:keepLines w:val="0"/>
        <w:pageBreakBefore w:val="0"/>
        <w:widowControl w:val="0"/>
        <w:kinsoku/>
        <w:wordWrap/>
        <w:overflowPunct/>
        <w:topLinePunct w:val="0"/>
        <w:autoSpaceDE/>
        <w:autoSpaceDN/>
        <w:bidi w:val="0"/>
        <w:adjustRightInd w:val="0"/>
        <w:snapToGrid w:val="0"/>
        <w:spacing w:before="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资产配置情况</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2021年度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新增固定资产6.81万元，其中：台式电脑6台，黑白打印机1台，沙发2张，档案柜2套。</w:t>
      </w:r>
    </w:p>
    <w:p>
      <w:pPr>
        <w:keepNext w:val="0"/>
        <w:keepLines w:val="0"/>
        <w:pageBreakBefore w:val="0"/>
        <w:widowControl w:val="0"/>
        <w:kinsoku/>
        <w:wordWrap/>
        <w:overflowPunct/>
        <w:topLinePunct w:val="0"/>
        <w:autoSpaceDE/>
        <w:autoSpaceDN/>
        <w:bidi w:val="0"/>
        <w:adjustRightInd w:val="0"/>
        <w:snapToGrid w:val="0"/>
        <w:spacing w:before="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资产使用情况</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主要资产的使用状况均为在用，无固定资产闲置现象。</w:t>
      </w:r>
    </w:p>
    <w:p>
      <w:pPr>
        <w:pStyle w:val="6"/>
        <w:keepNext w:val="0"/>
        <w:keepLines w:val="0"/>
        <w:pageBreakBefore w:val="0"/>
        <w:widowControl w:val="0"/>
        <w:shd w:val="clear" w:color="auto" w:fill="auto"/>
        <w:tabs>
          <w:tab w:val="left" w:pos="1589"/>
        </w:tabs>
        <w:kinsoku/>
        <w:wordWrap/>
        <w:overflowPunct/>
        <w:topLinePunct w:val="0"/>
        <w:autoSpaceDE/>
        <w:autoSpaceDN/>
        <w:bidi w:val="0"/>
        <w:adjustRightInd/>
        <w:snapToGrid/>
        <w:spacing w:before="0" w:after="0" w:line="560" w:lineRule="exact"/>
        <w:ind w:left="0" w:right="0" w:firstLine="780"/>
        <w:jc w:val="both"/>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资产收益情况</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本单位处置固定资产账面原值为3.35万元，主要是电脑，回收残值直接上缴国库。</w:t>
      </w:r>
    </w:p>
    <w:p>
      <w:pPr>
        <w:keepNext w:val="0"/>
        <w:keepLines w:val="0"/>
        <w:pageBreakBefore w:val="0"/>
        <w:widowControl w:val="0"/>
        <w:numPr>
          <w:ilvl w:val="0"/>
          <w:numId w:val="0"/>
        </w:numPr>
        <w:tabs>
          <w:tab w:val="left" w:pos="8595"/>
        </w:tabs>
        <w:kinsoku/>
        <w:wordWrap/>
        <w:overflowPunct/>
        <w:topLinePunct w:val="0"/>
        <w:autoSpaceDE/>
        <w:autoSpaceDN/>
        <w:bidi w:val="0"/>
        <w:spacing w:before="0" w:line="560" w:lineRule="exact"/>
        <w:ind w:right="0" w:rightChars="0" w:firstLine="640" w:firstLineChars="200"/>
        <w:textAlignment w:val="auto"/>
        <w:rPr>
          <w:rFonts w:hint="default" w:ascii="楷体_GB2312" w:hAnsi="楷体_GB2312" w:eastAsia="楷体_GB2312" w:cs="楷体_GB2312"/>
          <w:b w:val="0"/>
          <w:bCs/>
          <w:kern w:val="2"/>
          <w:sz w:val="32"/>
          <w:szCs w:val="32"/>
          <w:lang w:val="en-US" w:eastAsia="zh-CN" w:bidi="ar-SA"/>
        </w:rPr>
      </w:pPr>
      <w:r>
        <w:rPr>
          <w:rFonts w:hint="default" w:ascii="楷体_GB2312" w:hAnsi="楷体_GB2312" w:eastAsia="楷体_GB2312" w:cs="楷体_GB2312"/>
          <w:b w:val="0"/>
          <w:bCs/>
          <w:kern w:val="2"/>
          <w:sz w:val="32"/>
          <w:szCs w:val="32"/>
          <w:lang w:val="en-US" w:eastAsia="zh-CN" w:bidi="ar-SA"/>
        </w:rPr>
        <w:t>（三）资产总体绩效情况。</w:t>
      </w:r>
    </w:p>
    <w:p>
      <w:pPr>
        <w:keepNext w:val="0"/>
        <w:keepLines w:val="0"/>
        <w:pageBreakBefore w:val="0"/>
        <w:widowControl w:val="0"/>
        <w:numPr>
          <w:ilvl w:val="0"/>
          <w:numId w:val="0"/>
        </w:numPr>
        <w:tabs>
          <w:tab w:val="left" w:pos="8595"/>
        </w:tabs>
        <w:kinsoku/>
        <w:wordWrap/>
        <w:overflowPunct/>
        <w:topLinePunct w:val="0"/>
        <w:autoSpaceDE/>
        <w:autoSpaceDN/>
        <w:bidi w:val="0"/>
        <w:spacing w:before="0" w:line="560" w:lineRule="exact"/>
        <w:ind w:right="0" w:rightChars="0" w:firstLine="620" w:firstLineChars="200"/>
        <w:textAlignment w:val="auto"/>
        <w:rPr>
          <w:rFonts w:hint="eastAsia" w:ascii="楷体_GB2312" w:hAnsi="楷体" w:eastAsia="楷体_GB2312"/>
          <w:b w:val="0"/>
          <w:bCs/>
          <w:kern w:val="0"/>
          <w:sz w:val="32"/>
          <w:szCs w:val="32"/>
        </w:rPr>
      </w:pPr>
      <w:r>
        <w:rPr>
          <w:rFonts w:hint="eastAsia" w:ascii="仿宋_GB2312" w:hAnsi="宋体" w:eastAsia="仿宋_GB2312" w:cs="仿宋_GB2312"/>
          <w:i w:val="0"/>
          <w:caps w:val="0"/>
          <w:color w:val="000000"/>
          <w:spacing w:val="0"/>
          <w:sz w:val="31"/>
          <w:szCs w:val="31"/>
          <w:shd w:val="clear" w:color="auto" w:fill="FFFFFF"/>
          <w:lang w:eastAsia="zh-CN"/>
        </w:rPr>
        <w:t>本单位</w:t>
      </w:r>
      <w:r>
        <w:rPr>
          <w:rFonts w:ascii="仿宋_GB2312" w:hAnsi="宋体" w:eastAsia="仿宋_GB2312" w:cs="仿宋_GB2312"/>
          <w:i w:val="0"/>
          <w:caps w:val="0"/>
          <w:color w:val="000000"/>
          <w:spacing w:val="0"/>
          <w:sz w:val="31"/>
          <w:szCs w:val="31"/>
          <w:shd w:val="clear" w:color="auto" w:fill="FFFFFF"/>
        </w:rPr>
        <w:t>按照工作需要合理配置</w:t>
      </w:r>
      <w:r>
        <w:rPr>
          <w:rFonts w:hint="eastAsia" w:ascii="仿宋_GB2312" w:hAnsi="宋体" w:eastAsia="仿宋_GB2312" w:cs="仿宋_GB2312"/>
          <w:i w:val="0"/>
          <w:caps w:val="0"/>
          <w:color w:val="000000"/>
          <w:spacing w:val="0"/>
          <w:sz w:val="31"/>
          <w:szCs w:val="31"/>
          <w:shd w:val="clear" w:color="auto" w:fill="FFFFFF"/>
          <w:lang w:eastAsia="zh-CN"/>
        </w:rPr>
        <w:t>了</w:t>
      </w:r>
      <w:r>
        <w:rPr>
          <w:rFonts w:ascii="仿宋_GB2312" w:hAnsi="宋体" w:eastAsia="仿宋_GB2312" w:cs="仿宋_GB2312"/>
          <w:i w:val="0"/>
          <w:caps w:val="0"/>
          <w:color w:val="000000"/>
          <w:spacing w:val="0"/>
          <w:sz w:val="31"/>
          <w:szCs w:val="31"/>
          <w:shd w:val="clear" w:color="auto" w:fill="FFFFFF"/>
        </w:rPr>
        <w:t>办公设备，强化</w:t>
      </w:r>
      <w:r>
        <w:rPr>
          <w:rFonts w:hint="eastAsia" w:ascii="仿宋_GB2312" w:hAnsi="宋体" w:eastAsia="仿宋_GB2312" w:cs="仿宋_GB2312"/>
          <w:i w:val="0"/>
          <w:caps w:val="0"/>
          <w:color w:val="000000"/>
          <w:spacing w:val="0"/>
          <w:sz w:val="31"/>
          <w:szCs w:val="31"/>
          <w:shd w:val="clear" w:color="auto" w:fill="FFFFFF"/>
          <w:lang w:eastAsia="zh-CN"/>
        </w:rPr>
        <w:t>了科室</w:t>
      </w:r>
      <w:r>
        <w:rPr>
          <w:rFonts w:ascii="仿宋_GB2312" w:hAnsi="宋体" w:eastAsia="仿宋_GB2312" w:cs="仿宋_GB2312"/>
          <w:i w:val="0"/>
          <w:caps w:val="0"/>
          <w:color w:val="000000"/>
          <w:spacing w:val="0"/>
          <w:sz w:val="31"/>
          <w:szCs w:val="31"/>
          <w:shd w:val="clear" w:color="auto" w:fill="FFFFFF"/>
        </w:rPr>
        <w:t>间</w:t>
      </w:r>
      <w:r>
        <w:rPr>
          <w:rFonts w:hint="eastAsia" w:ascii="仿宋_GB2312" w:hAnsi="宋体" w:eastAsia="仿宋_GB2312" w:cs="仿宋_GB2312"/>
          <w:i w:val="0"/>
          <w:caps w:val="0"/>
          <w:color w:val="000000"/>
          <w:spacing w:val="0"/>
          <w:sz w:val="31"/>
          <w:szCs w:val="31"/>
          <w:shd w:val="clear" w:color="auto" w:fill="FFFFFF"/>
          <w:lang w:eastAsia="zh-CN"/>
        </w:rPr>
        <w:t>办公设备</w:t>
      </w:r>
      <w:r>
        <w:rPr>
          <w:rFonts w:ascii="仿宋_GB2312" w:hAnsi="宋体" w:eastAsia="仿宋_GB2312" w:cs="仿宋_GB2312"/>
          <w:i w:val="0"/>
          <w:caps w:val="0"/>
          <w:color w:val="000000"/>
          <w:spacing w:val="0"/>
          <w:sz w:val="31"/>
          <w:szCs w:val="31"/>
          <w:shd w:val="clear" w:color="auto" w:fill="FFFFFF"/>
        </w:rPr>
        <w:t>的协调、调剂使用，</w:t>
      </w:r>
      <w:r>
        <w:rPr>
          <w:rFonts w:hint="eastAsia" w:ascii="仿宋_GB2312" w:hAnsi="宋体" w:eastAsia="仿宋_GB2312" w:cs="仿宋_GB2312"/>
          <w:i w:val="0"/>
          <w:caps w:val="0"/>
          <w:color w:val="000000"/>
          <w:spacing w:val="0"/>
          <w:sz w:val="31"/>
          <w:szCs w:val="31"/>
          <w:shd w:val="clear" w:color="auto" w:fill="FFFFFF"/>
          <w:lang w:eastAsia="zh-CN"/>
        </w:rPr>
        <w:t>并加强对</w:t>
      </w:r>
      <w:r>
        <w:rPr>
          <w:rFonts w:ascii="仿宋_GB2312" w:hAnsi="宋体" w:eastAsia="仿宋_GB2312" w:cs="仿宋_GB2312"/>
          <w:i w:val="0"/>
          <w:caps w:val="0"/>
          <w:color w:val="000000"/>
          <w:spacing w:val="0"/>
          <w:sz w:val="31"/>
          <w:szCs w:val="31"/>
          <w:shd w:val="clear" w:color="auto" w:fill="FFFFFF"/>
        </w:rPr>
        <w:t>固定资产的日常维护保养，延长</w:t>
      </w:r>
      <w:r>
        <w:rPr>
          <w:rFonts w:hint="eastAsia" w:ascii="仿宋_GB2312" w:hAnsi="宋体" w:eastAsia="仿宋_GB2312" w:cs="仿宋_GB2312"/>
          <w:i w:val="0"/>
          <w:caps w:val="0"/>
          <w:color w:val="000000"/>
          <w:spacing w:val="0"/>
          <w:sz w:val="31"/>
          <w:szCs w:val="31"/>
          <w:shd w:val="clear" w:color="auto" w:fill="FFFFFF"/>
          <w:lang w:eastAsia="zh-CN"/>
        </w:rPr>
        <w:t>其</w:t>
      </w:r>
      <w:r>
        <w:rPr>
          <w:rFonts w:ascii="仿宋_GB2312" w:hAnsi="宋体" w:eastAsia="仿宋_GB2312" w:cs="仿宋_GB2312"/>
          <w:i w:val="0"/>
          <w:caps w:val="0"/>
          <w:color w:val="000000"/>
          <w:spacing w:val="0"/>
          <w:sz w:val="31"/>
          <w:szCs w:val="31"/>
          <w:shd w:val="clear" w:color="auto" w:fill="FFFFFF"/>
        </w:rPr>
        <w:t>使用寿命。按照固定资产使用年限，到期</w:t>
      </w:r>
      <w:r>
        <w:rPr>
          <w:rFonts w:hint="eastAsia" w:ascii="仿宋_GB2312" w:hAnsi="宋体" w:eastAsia="仿宋_GB2312" w:cs="仿宋_GB2312"/>
          <w:i w:val="0"/>
          <w:caps w:val="0"/>
          <w:color w:val="000000"/>
          <w:spacing w:val="0"/>
          <w:sz w:val="31"/>
          <w:szCs w:val="31"/>
          <w:shd w:val="clear" w:color="auto" w:fill="FFFFFF"/>
          <w:lang w:eastAsia="zh-CN"/>
        </w:rPr>
        <w:t>确实</w:t>
      </w:r>
      <w:r>
        <w:rPr>
          <w:rFonts w:ascii="仿宋_GB2312" w:hAnsi="宋体" w:eastAsia="仿宋_GB2312" w:cs="仿宋_GB2312"/>
          <w:i w:val="0"/>
          <w:caps w:val="0"/>
          <w:color w:val="000000"/>
          <w:spacing w:val="0"/>
          <w:sz w:val="31"/>
          <w:szCs w:val="31"/>
          <w:shd w:val="clear" w:color="auto" w:fill="FFFFFF"/>
        </w:rPr>
        <w:t>不能</w:t>
      </w:r>
      <w:r>
        <w:rPr>
          <w:rFonts w:hint="eastAsia" w:ascii="仿宋_GB2312" w:hAnsi="宋体" w:eastAsia="仿宋_GB2312" w:cs="仿宋_GB2312"/>
          <w:i w:val="0"/>
          <w:caps w:val="0"/>
          <w:color w:val="000000"/>
          <w:spacing w:val="0"/>
          <w:sz w:val="31"/>
          <w:szCs w:val="31"/>
          <w:shd w:val="clear" w:color="auto" w:fill="FFFFFF"/>
          <w:lang w:eastAsia="zh-CN"/>
        </w:rPr>
        <w:t>继续</w:t>
      </w:r>
      <w:r>
        <w:rPr>
          <w:rFonts w:ascii="仿宋_GB2312" w:hAnsi="宋体" w:eastAsia="仿宋_GB2312" w:cs="仿宋_GB2312"/>
          <w:i w:val="0"/>
          <w:caps w:val="0"/>
          <w:color w:val="000000"/>
          <w:spacing w:val="0"/>
          <w:sz w:val="31"/>
          <w:szCs w:val="31"/>
          <w:shd w:val="clear" w:color="auto" w:fill="FFFFFF"/>
        </w:rPr>
        <w:t>维修使用的</w:t>
      </w:r>
      <w:r>
        <w:rPr>
          <w:rFonts w:hint="eastAsia" w:ascii="仿宋_GB2312" w:hAnsi="宋体" w:eastAsia="仿宋_GB2312" w:cs="仿宋_GB2312"/>
          <w:i w:val="0"/>
          <w:caps w:val="0"/>
          <w:color w:val="000000"/>
          <w:spacing w:val="0"/>
          <w:sz w:val="31"/>
          <w:szCs w:val="31"/>
          <w:shd w:val="clear" w:color="auto" w:fill="FFFFFF"/>
          <w:lang w:eastAsia="zh-CN"/>
        </w:rPr>
        <w:t>设备</w:t>
      </w:r>
      <w:r>
        <w:rPr>
          <w:rFonts w:ascii="仿宋_GB2312" w:hAnsi="宋体" w:eastAsia="仿宋_GB2312" w:cs="仿宋_GB2312"/>
          <w:i w:val="0"/>
          <w:caps w:val="0"/>
          <w:color w:val="000000"/>
          <w:spacing w:val="0"/>
          <w:sz w:val="31"/>
          <w:szCs w:val="31"/>
          <w:shd w:val="clear" w:color="auto" w:fill="FFFFFF"/>
        </w:rPr>
        <w:t>，</w:t>
      </w:r>
      <w:r>
        <w:rPr>
          <w:rFonts w:hint="eastAsia" w:ascii="仿宋_GB2312" w:hAnsi="宋体" w:eastAsia="仿宋_GB2312" w:cs="仿宋_GB2312"/>
          <w:i w:val="0"/>
          <w:caps w:val="0"/>
          <w:color w:val="000000"/>
          <w:spacing w:val="0"/>
          <w:sz w:val="31"/>
          <w:szCs w:val="31"/>
          <w:shd w:val="clear" w:color="auto" w:fill="FFFFFF"/>
          <w:lang w:eastAsia="zh-CN"/>
        </w:rPr>
        <w:t>由各科室报</w:t>
      </w:r>
      <w:r>
        <w:rPr>
          <w:rFonts w:ascii="仿宋_GB2312" w:hAnsi="宋体" w:eastAsia="仿宋_GB2312" w:cs="仿宋_GB2312"/>
          <w:i w:val="0"/>
          <w:caps w:val="0"/>
          <w:color w:val="000000"/>
          <w:spacing w:val="0"/>
          <w:sz w:val="31"/>
          <w:szCs w:val="31"/>
          <w:shd w:val="clear" w:color="auto" w:fill="FFFFFF"/>
        </w:rPr>
        <w:t>办公室</w:t>
      </w:r>
      <w:r>
        <w:rPr>
          <w:rFonts w:hint="eastAsia" w:ascii="仿宋_GB2312" w:hAnsi="宋体" w:eastAsia="仿宋_GB2312" w:cs="仿宋_GB2312"/>
          <w:i w:val="0"/>
          <w:caps w:val="0"/>
          <w:color w:val="000000"/>
          <w:spacing w:val="0"/>
          <w:sz w:val="31"/>
          <w:szCs w:val="31"/>
          <w:shd w:val="clear" w:color="auto" w:fill="FFFFFF"/>
          <w:lang w:eastAsia="zh-CN"/>
        </w:rPr>
        <w:t>汇总</w:t>
      </w:r>
      <w:r>
        <w:rPr>
          <w:rFonts w:ascii="仿宋_GB2312" w:hAnsi="宋体" w:eastAsia="仿宋_GB2312" w:cs="仿宋_GB2312"/>
          <w:i w:val="0"/>
          <w:caps w:val="0"/>
          <w:color w:val="000000"/>
          <w:spacing w:val="0"/>
          <w:sz w:val="31"/>
          <w:szCs w:val="31"/>
          <w:shd w:val="clear" w:color="auto" w:fill="FFFFFF"/>
        </w:rPr>
        <w:t>，落实情况属实</w:t>
      </w:r>
      <w:r>
        <w:rPr>
          <w:rFonts w:hint="eastAsia" w:ascii="仿宋_GB2312" w:hAnsi="宋体" w:eastAsia="仿宋_GB2312" w:cs="仿宋_GB2312"/>
          <w:i w:val="0"/>
          <w:caps w:val="0"/>
          <w:color w:val="000000"/>
          <w:spacing w:val="0"/>
          <w:sz w:val="31"/>
          <w:szCs w:val="31"/>
          <w:shd w:val="clear" w:color="auto" w:fill="FFFFFF"/>
          <w:lang w:eastAsia="zh-CN"/>
        </w:rPr>
        <w:t>后</w:t>
      </w:r>
      <w:r>
        <w:rPr>
          <w:rFonts w:ascii="仿宋_GB2312" w:hAnsi="宋体" w:eastAsia="仿宋_GB2312" w:cs="仿宋_GB2312"/>
          <w:i w:val="0"/>
          <w:caps w:val="0"/>
          <w:color w:val="000000"/>
          <w:spacing w:val="0"/>
          <w:sz w:val="31"/>
          <w:szCs w:val="31"/>
          <w:shd w:val="clear" w:color="auto" w:fill="FFFFFF"/>
        </w:rPr>
        <w:t>，上报财政部门按照相关规定处置。</w:t>
      </w:r>
    </w:p>
    <w:p>
      <w:pPr>
        <w:keepNext w:val="0"/>
        <w:keepLines w:val="0"/>
        <w:pageBreakBefore w:val="0"/>
        <w:widowControl w:val="0"/>
        <w:numPr>
          <w:ilvl w:val="0"/>
          <w:numId w:val="0"/>
        </w:numPr>
        <w:tabs>
          <w:tab w:val="left" w:pos="8595"/>
        </w:tabs>
        <w:kinsoku/>
        <w:wordWrap/>
        <w:overflowPunct/>
        <w:topLinePunct w:val="0"/>
        <w:autoSpaceDE/>
        <w:autoSpaceDN/>
        <w:bidi w:val="0"/>
        <w:spacing w:before="0"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资产配置效率</w:t>
      </w:r>
      <w:r>
        <w:rPr>
          <w:rFonts w:hint="eastAsia" w:ascii="仿宋_GB2312" w:eastAsia="仿宋_GB2312"/>
          <w:sz w:val="32"/>
          <w:szCs w:val="32"/>
          <w:lang w:eastAsia="zh-CN"/>
        </w:rPr>
        <w:t>。本单位</w:t>
      </w:r>
      <w:r>
        <w:rPr>
          <w:rFonts w:hint="eastAsia" w:ascii="仿宋_GB2312" w:eastAsia="仿宋_GB2312"/>
          <w:sz w:val="32"/>
          <w:szCs w:val="32"/>
        </w:rPr>
        <w:t>人均占有办公室使用面积</w:t>
      </w:r>
      <w:r>
        <w:rPr>
          <w:rFonts w:hint="eastAsia" w:ascii="仿宋_GB2312" w:eastAsia="仿宋_GB2312"/>
          <w:sz w:val="32"/>
          <w:szCs w:val="32"/>
          <w:lang w:eastAsia="zh-CN"/>
        </w:rPr>
        <w:t>为</w:t>
      </w:r>
      <w:r>
        <w:rPr>
          <w:rFonts w:hint="eastAsia" w:ascii="仿宋_GB2312" w:eastAsia="仿宋_GB2312"/>
          <w:sz w:val="32"/>
          <w:szCs w:val="32"/>
          <w:lang w:val="en-US" w:eastAsia="zh-CN"/>
        </w:rPr>
        <w:t>9.64</w:t>
      </w:r>
      <w:r>
        <w:rPr>
          <w:rFonts w:hint="eastAsia" w:ascii="仿宋_GB2312" w:hAnsi="仿宋_GB2312" w:eastAsia="仿宋_GB2312" w:cs="仿宋_GB2312"/>
          <w:sz w:val="32"/>
          <w:szCs w:val="32"/>
        </w:rPr>
        <w:t>㎡</w:t>
      </w:r>
      <w:r>
        <w:rPr>
          <w:rFonts w:hint="eastAsia" w:ascii="仿宋_GB2312" w:eastAsia="仿宋_GB2312"/>
          <w:sz w:val="32"/>
          <w:szCs w:val="32"/>
        </w:rPr>
        <w:t>、</w:t>
      </w:r>
      <w:r>
        <w:rPr>
          <w:rFonts w:hint="default" w:ascii="Times New Roman" w:hAnsi="Times New Roman" w:eastAsia="仿宋_GB2312" w:cs="Times New Roman"/>
          <w:color w:val="000000"/>
          <w:sz w:val="32"/>
          <w:szCs w:val="32"/>
        </w:rPr>
        <w:t>人均占有通用设备数量</w:t>
      </w:r>
      <w:r>
        <w:rPr>
          <w:rFonts w:hint="eastAsia" w:ascii="仿宋_GB2312" w:eastAsia="仿宋_GB2312"/>
          <w:sz w:val="32"/>
          <w:szCs w:val="32"/>
          <w:lang w:eastAsia="zh-CN"/>
        </w:rPr>
        <w:t>为</w:t>
      </w:r>
      <w:r>
        <w:rPr>
          <w:rFonts w:hint="eastAsia" w:ascii="仿宋_GB2312" w:eastAsia="仿宋_GB2312"/>
          <w:sz w:val="32"/>
          <w:szCs w:val="32"/>
          <w:lang w:val="en-US" w:eastAsia="zh-CN"/>
        </w:rPr>
        <w:t>6个</w:t>
      </w:r>
      <w:r>
        <w:rPr>
          <w:rFonts w:hint="eastAsia" w:ascii="仿宋_GB2312" w:eastAsia="仿宋_GB2312"/>
          <w:sz w:val="32"/>
          <w:szCs w:val="32"/>
          <w:lang w:eastAsia="zh-CN"/>
        </w:rPr>
        <w:t>。</w:t>
      </w:r>
    </w:p>
    <w:p>
      <w:pPr>
        <w:keepNext w:val="0"/>
        <w:keepLines w:val="0"/>
        <w:pageBreakBefore w:val="0"/>
        <w:widowControl w:val="0"/>
        <w:numPr>
          <w:ilvl w:val="0"/>
          <w:numId w:val="0"/>
        </w:numPr>
        <w:tabs>
          <w:tab w:val="left" w:pos="8595"/>
        </w:tabs>
        <w:kinsoku/>
        <w:wordWrap/>
        <w:overflowPunct/>
        <w:topLinePunct w:val="0"/>
        <w:autoSpaceDE/>
        <w:autoSpaceDN/>
        <w:bidi w:val="0"/>
        <w:spacing w:before="0" w:line="560" w:lineRule="exact"/>
        <w:ind w:firstLine="640" w:firstLineChars="200"/>
        <w:textAlignment w:val="auto"/>
        <w:rPr>
          <w:rFonts w:hint="default" w:ascii="Times New Roman" w:hAnsi="Times New Roman" w:eastAsia="仿宋_GB2312" w:cs="Times New Roman"/>
          <w:b/>
          <w:color w:val="000000"/>
          <w:kern w:val="0"/>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资产使用效益</w:t>
      </w:r>
      <w:r>
        <w:rPr>
          <w:rFonts w:hint="eastAsia" w:ascii="仿宋_GB2312" w:eastAsia="仿宋_GB2312"/>
          <w:sz w:val="32"/>
          <w:szCs w:val="32"/>
          <w:lang w:eastAsia="zh-CN"/>
        </w:rPr>
        <w:t>。本单位</w:t>
      </w:r>
      <w:r>
        <w:rPr>
          <w:rFonts w:hint="eastAsia" w:ascii="仿宋_GB2312" w:eastAsia="仿宋_GB2312"/>
          <w:sz w:val="32"/>
          <w:szCs w:val="32"/>
        </w:rPr>
        <w:t>资产闲置率</w:t>
      </w:r>
      <w:r>
        <w:rPr>
          <w:rFonts w:hint="eastAsia" w:ascii="仿宋_GB2312" w:eastAsia="仿宋_GB2312"/>
          <w:sz w:val="32"/>
          <w:szCs w:val="32"/>
          <w:lang w:eastAsia="zh-CN"/>
        </w:rPr>
        <w:t>为</w:t>
      </w:r>
      <w:r>
        <w:rPr>
          <w:rFonts w:hint="eastAsia" w:ascii="仿宋_GB2312" w:eastAsia="仿宋_GB2312"/>
          <w:sz w:val="32"/>
          <w:szCs w:val="32"/>
          <w:lang w:val="en-US" w:eastAsia="zh-CN"/>
        </w:rPr>
        <w:t>0%</w:t>
      </w:r>
      <w:r>
        <w:rPr>
          <w:rFonts w:hint="eastAsia" w:ascii="仿宋_GB2312" w:eastAsia="仿宋_GB2312"/>
          <w:sz w:val="32"/>
          <w:szCs w:val="32"/>
        </w:rPr>
        <w:t>、出租出借收益率</w:t>
      </w:r>
      <w:r>
        <w:rPr>
          <w:rFonts w:hint="eastAsia" w:ascii="仿宋_GB2312" w:eastAsia="仿宋_GB2312"/>
          <w:sz w:val="32"/>
          <w:szCs w:val="32"/>
          <w:lang w:eastAsia="zh-CN"/>
        </w:rPr>
        <w:t>为</w:t>
      </w:r>
      <w:r>
        <w:rPr>
          <w:rFonts w:hint="eastAsia" w:ascii="仿宋_GB2312" w:eastAsia="仿宋_GB2312"/>
          <w:sz w:val="32"/>
          <w:szCs w:val="32"/>
          <w:lang w:val="en-US" w:eastAsia="zh-CN"/>
        </w:rPr>
        <w:t>0%</w:t>
      </w:r>
      <w:r>
        <w:rPr>
          <w:rFonts w:hint="eastAsia" w:ascii="仿宋_GB2312" w:eastAsia="仿宋_GB2312"/>
          <w:sz w:val="32"/>
          <w:szCs w:val="32"/>
        </w:rPr>
        <w:t>、对外投资收益率</w:t>
      </w:r>
      <w:r>
        <w:rPr>
          <w:rFonts w:hint="eastAsia" w:ascii="仿宋_GB2312" w:eastAsia="仿宋_GB2312"/>
          <w:sz w:val="32"/>
          <w:szCs w:val="32"/>
          <w:lang w:eastAsia="zh-CN"/>
        </w:rPr>
        <w:t>为</w:t>
      </w:r>
      <w:r>
        <w:rPr>
          <w:rFonts w:hint="eastAsia" w:ascii="仿宋_GB2312" w:eastAsia="仿宋_GB2312"/>
          <w:sz w:val="32"/>
          <w:szCs w:val="32"/>
          <w:lang w:val="en-US" w:eastAsia="zh-CN"/>
        </w:rPr>
        <w:t>0%</w:t>
      </w:r>
      <w:r>
        <w:rPr>
          <w:rFonts w:hint="eastAsia" w:ascii="仿宋_GB2312" w:eastAsia="仿宋_GB2312"/>
          <w:sz w:val="32"/>
          <w:szCs w:val="32"/>
        </w:rPr>
        <w:t>。</w:t>
      </w:r>
    </w:p>
    <w:p>
      <w:pPr>
        <w:pStyle w:val="5"/>
        <w:widowControl/>
        <w:numPr>
          <w:ilvl w:val="0"/>
          <w:numId w:val="0"/>
        </w:numPr>
        <w:spacing w:line="540" w:lineRule="exact"/>
        <w:ind w:firstLine="640" w:firstLineChars="200"/>
        <w:rPr>
          <w:rFonts w:hint="eastAsia" w:eastAsia="黑体"/>
          <w:sz w:val="32"/>
          <w:szCs w:val="32"/>
        </w:rPr>
      </w:pPr>
      <w:r>
        <w:rPr>
          <w:rFonts w:hint="eastAsia" w:eastAsia="黑体"/>
          <w:sz w:val="32"/>
          <w:szCs w:val="32"/>
          <w:lang w:val="en-US" w:eastAsia="zh-CN"/>
        </w:rPr>
        <w:t>四、</w:t>
      </w:r>
      <w:r>
        <w:rPr>
          <w:rFonts w:hint="eastAsia" w:eastAsia="黑体"/>
          <w:sz w:val="32"/>
          <w:szCs w:val="32"/>
        </w:rPr>
        <w:t xml:space="preserve">政府性基金预算支出情况 </w:t>
      </w:r>
    </w:p>
    <w:p>
      <w:pPr>
        <w:widowControl/>
        <w:snapToGrid w:val="0"/>
        <w:spacing w:line="540" w:lineRule="exact"/>
        <w:ind w:firstLine="640" w:firstLineChars="200"/>
        <w:jc w:val="left"/>
        <w:rPr>
          <w:rFonts w:hint="eastAsia"/>
          <w:sz w:val="32"/>
          <w:szCs w:val="32"/>
        </w:rPr>
      </w:pPr>
      <w:r>
        <w:rPr>
          <w:rFonts w:hint="eastAsia"/>
          <w:sz w:val="32"/>
          <w:szCs w:val="32"/>
        </w:rPr>
        <w:t>本单位未安排政府性基金预算支出。</w:t>
      </w:r>
    </w:p>
    <w:p>
      <w:pPr>
        <w:pStyle w:val="5"/>
        <w:widowControl/>
        <w:numPr>
          <w:ilvl w:val="0"/>
          <w:numId w:val="0"/>
        </w:numPr>
        <w:spacing w:line="540" w:lineRule="exact"/>
        <w:ind w:left="640" w:leftChars="0"/>
        <w:rPr>
          <w:rFonts w:hint="eastAsia" w:eastAsia="黑体"/>
          <w:sz w:val="32"/>
          <w:szCs w:val="32"/>
        </w:rPr>
      </w:pPr>
      <w:r>
        <w:rPr>
          <w:rFonts w:hint="eastAsia" w:eastAsia="黑体"/>
          <w:sz w:val="32"/>
          <w:szCs w:val="32"/>
          <w:lang w:val="en-US" w:eastAsia="zh-CN"/>
        </w:rPr>
        <w:t>五、</w:t>
      </w:r>
      <w:r>
        <w:rPr>
          <w:rFonts w:hint="eastAsia" w:eastAsia="黑体"/>
          <w:sz w:val="32"/>
          <w:szCs w:val="32"/>
        </w:rPr>
        <w:t>国有资本经营预算支出情况</w:t>
      </w:r>
    </w:p>
    <w:p>
      <w:pPr>
        <w:widowControl/>
        <w:snapToGrid w:val="0"/>
        <w:spacing w:line="540" w:lineRule="exact"/>
        <w:ind w:firstLine="640" w:firstLineChars="200"/>
        <w:jc w:val="left"/>
        <w:rPr>
          <w:rFonts w:hint="eastAsia"/>
          <w:sz w:val="32"/>
          <w:szCs w:val="32"/>
        </w:rPr>
      </w:pPr>
      <w:r>
        <w:rPr>
          <w:rFonts w:hint="eastAsia"/>
          <w:sz w:val="32"/>
          <w:szCs w:val="32"/>
        </w:rPr>
        <w:t>本单位未安排国有资本经营预算支出。</w:t>
      </w:r>
    </w:p>
    <w:p>
      <w:pPr>
        <w:pStyle w:val="5"/>
        <w:widowControl/>
        <w:numPr>
          <w:ilvl w:val="0"/>
          <w:numId w:val="0"/>
        </w:numPr>
        <w:spacing w:line="540" w:lineRule="exact"/>
        <w:ind w:left="640" w:leftChars="0"/>
        <w:rPr>
          <w:rFonts w:hint="eastAsia" w:eastAsia="黑体"/>
          <w:sz w:val="32"/>
          <w:szCs w:val="32"/>
        </w:rPr>
      </w:pPr>
      <w:r>
        <w:rPr>
          <w:rFonts w:hint="eastAsia" w:eastAsia="黑体"/>
          <w:sz w:val="32"/>
          <w:szCs w:val="32"/>
          <w:lang w:val="en-US" w:eastAsia="zh-CN"/>
        </w:rPr>
        <w:t>六、</w:t>
      </w:r>
      <w:r>
        <w:rPr>
          <w:rFonts w:hint="eastAsia" w:eastAsia="黑体"/>
          <w:sz w:val="32"/>
          <w:szCs w:val="32"/>
        </w:rPr>
        <w:t>社会保险基金预算支出情况</w:t>
      </w:r>
    </w:p>
    <w:p>
      <w:pPr>
        <w:widowControl/>
        <w:snapToGrid w:val="0"/>
        <w:spacing w:line="540" w:lineRule="exact"/>
        <w:ind w:firstLine="640" w:firstLineChars="200"/>
        <w:jc w:val="left"/>
        <w:rPr>
          <w:rFonts w:hint="eastAsia" w:eastAsia="黑体"/>
          <w:sz w:val="32"/>
          <w:szCs w:val="32"/>
        </w:rPr>
      </w:pPr>
      <w:r>
        <w:rPr>
          <w:rFonts w:hint="eastAsia"/>
          <w:sz w:val="32"/>
          <w:szCs w:val="32"/>
        </w:rPr>
        <w:t>本单位未安排社会保险基金预算支出。</w:t>
      </w:r>
    </w:p>
    <w:p>
      <w:pPr>
        <w:pStyle w:val="5"/>
        <w:widowControl/>
        <w:numPr>
          <w:ilvl w:val="0"/>
          <w:numId w:val="0"/>
        </w:numPr>
        <w:spacing w:line="540" w:lineRule="exact"/>
        <w:ind w:left="640" w:leftChars="0"/>
        <w:rPr>
          <w:rFonts w:hint="eastAsia" w:eastAsia="黑体"/>
          <w:sz w:val="32"/>
          <w:szCs w:val="32"/>
        </w:rPr>
      </w:pPr>
      <w:r>
        <w:rPr>
          <w:rFonts w:hint="eastAsia" w:eastAsia="黑体"/>
          <w:sz w:val="32"/>
          <w:szCs w:val="32"/>
          <w:lang w:val="en-US" w:eastAsia="zh-CN"/>
        </w:rPr>
        <w:t>七、</w:t>
      </w:r>
      <w:r>
        <w:rPr>
          <w:rFonts w:hint="eastAsia" w:eastAsia="黑体"/>
          <w:sz w:val="32"/>
          <w:szCs w:val="32"/>
        </w:rPr>
        <w:t>部门整体支出绩效情况</w:t>
      </w:r>
    </w:p>
    <w:p>
      <w:pPr>
        <w:widowControl/>
        <w:snapToGrid w:val="0"/>
        <w:spacing w:line="540" w:lineRule="exact"/>
        <w:ind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（一）绩效目标设置情况</w:t>
      </w:r>
    </w:p>
    <w:p>
      <w:pPr>
        <w:widowControl/>
        <w:snapToGrid w:val="0"/>
        <w:spacing w:line="560" w:lineRule="exact"/>
        <w:ind w:firstLine="640" w:firstLineChars="200"/>
        <w:jc w:val="left"/>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2021年本</w:t>
      </w:r>
      <w:r>
        <w:rPr>
          <w:rFonts w:hint="eastAsia" w:ascii="仿宋_GB2312" w:hAnsi="仿宋_GB2312" w:cs="仿宋_GB2312"/>
          <w:color w:val="000000"/>
          <w:kern w:val="0"/>
          <w:sz w:val="32"/>
          <w:szCs w:val="32"/>
          <w:lang w:val="en-US" w:eastAsia="zh-CN" w:bidi="ar"/>
        </w:rPr>
        <w:t>单位</w:t>
      </w:r>
      <w:r>
        <w:rPr>
          <w:rFonts w:hint="eastAsia" w:ascii="仿宋_GB2312" w:hAnsi="仿宋_GB2312" w:eastAsia="仿宋_GB2312" w:cs="仿宋_GB2312"/>
          <w:color w:val="000000"/>
          <w:kern w:val="0"/>
          <w:sz w:val="32"/>
          <w:szCs w:val="32"/>
          <w:lang w:val="en-US" w:eastAsia="zh-CN" w:bidi="ar"/>
        </w:rPr>
        <w:t>整体支出绩效目标</w:t>
      </w:r>
      <w:r>
        <w:rPr>
          <w:rFonts w:hint="eastAsia" w:ascii="仿宋_GB2312" w:hAnsi="仿宋_GB2312" w:cs="仿宋_GB2312"/>
          <w:color w:val="000000"/>
          <w:kern w:val="0"/>
          <w:sz w:val="32"/>
          <w:szCs w:val="32"/>
          <w:lang w:val="en-US" w:eastAsia="zh-CN" w:bidi="ar"/>
        </w:rPr>
        <w:t>：一是加强依法治统宣传；二是做好人口普查工作；三是创新统计工作方法。</w:t>
      </w:r>
      <w:r>
        <w:rPr>
          <w:rFonts w:hint="eastAsia" w:ascii="仿宋_GB2312" w:hAnsi="仿宋" w:cs="仿宋"/>
          <w:sz w:val="32"/>
          <w:szCs w:val="32"/>
          <w:lang w:val="en-US" w:eastAsia="zh-CN"/>
        </w:rPr>
        <w:t>完成各项常规任务及领导交办事项。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Chars="200" w:right="0" w:rightChars="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绩效目标完成情况。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年根据年初工作规划和重点性工作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各项工作取得了较</w:t>
      </w:r>
      <w:r>
        <w:rPr>
          <w:rFonts w:hint="eastAsia" w:ascii="仿宋_GB2312" w:hAnsi="仿宋_GB2312" w:eastAsia="仿宋_GB2312" w:cs="仿宋_GB2312"/>
          <w:color w:val="000000"/>
          <w:sz w:val="32"/>
          <w:szCs w:val="32"/>
          <w:lang w:eastAsia="zh-CN"/>
        </w:rPr>
        <w:t>好</w:t>
      </w:r>
      <w:r>
        <w:rPr>
          <w:rFonts w:hint="eastAsia" w:ascii="仿宋_GB2312" w:hAnsi="仿宋_GB2312" w:eastAsia="仿宋_GB2312" w:cs="仿宋_GB2312"/>
          <w:color w:val="000000"/>
          <w:sz w:val="32"/>
          <w:szCs w:val="32"/>
        </w:rPr>
        <w:t>成绩，完成了年度工作目标。通过加强预算收支管理，不断建立健全内部管理制度，梳理内部管理流程，部门整体支出管理情况得到提升。部门整体支出绩效情况如下：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预算执行方面，支出总额控制在预算总额以内</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年度“三公”经费财政拨款支出预算为</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万元，支出决算为</w:t>
      </w:r>
      <w:r>
        <w:rPr>
          <w:rFonts w:hint="eastAsia" w:ascii="仿宋_GB2312" w:hAnsi="仿宋_GB2312" w:cs="仿宋_GB2312"/>
          <w:color w:val="000000"/>
          <w:sz w:val="32"/>
          <w:szCs w:val="32"/>
          <w:lang w:val="en-US" w:eastAsia="zh-CN"/>
        </w:rPr>
        <w:t>1.86</w:t>
      </w:r>
      <w:r>
        <w:rPr>
          <w:rFonts w:hint="eastAsia" w:ascii="仿宋_GB2312" w:hAnsi="仿宋_GB2312" w:eastAsia="仿宋_GB2312" w:cs="仿宋_GB2312"/>
          <w:color w:val="000000"/>
          <w:sz w:val="32"/>
          <w:szCs w:val="32"/>
        </w:rPr>
        <w:t>万元，完成预算的</w:t>
      </w:r>
      <w:r>
        <w:rPr>
          <w:rFonts w:hint="eastAsia" w:ascii="仿宋_GB2312" w:hAnsi="仿宋_GB2312" w:cs="仿宋_GB2312"/>
          <w:color w:val="000000"/>
          <w:sz w:val="32"/>
          <w:szCs w:val="32"/>
          <w:lang w:val="en-US" w:eastAsia="zh-CN"/>
        </w:rPr>
        <w:t>23.25%</w:t>
      </w: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预算管理方面，制度执行总体较为有效。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rPr>
        <w:t>资产管理方面，建立了资产管理制度，定期进行了盘点和资产清理，总体执行较好。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本单位</w:t>
      </w:r>
      <w:r>
        <w:rPr>
          <w:rFonts w:hint="eastAsia" w:ascii="仿宋_GB2312" w:hAnsi="仿宋_GB2312" w:eastAsia="仿宋_GB2312" w:cs="仿宋_GB2312"/>
          <w:color w:val="000000"/>
          <w:sz w:val="32"/>
          <w:szCs w:val="32"/>
        </w:rPr>
        <w:t>认真贯彻落实《党政机关厉行节约反对浪费条例》中关于从严从紧控制公务开支要求，从严</w:t>
      </w:r>
      <w:r>
        <w:rPr>
          <w:rFonts w:hint="eastAsia" w:ascii="仿宋_GB2312" w:hAnsi="仿宋_GB2312" w:eastAsia="仿宋_GB2312" w:cs="仿宋_GB2312"/>
          <w:color w:val="000000"/>
          <w:sz w:val="32"/>
          <w:szCs w:val="32"/>
          <w:lang w:eastAsia="zh-CN"/>
        </w:rPr>
        <w:t>控制</w:t>
      </w:r>
      <w:r>
        <w:rPr>
          <w:rFonts w:hint="eastAsia" w:ascii="仿宋_GB2312" w:hAnsi="仿宋_GB2312" w:eastAsia="仿宋_GB2312" w:cs="仿宋_GB2312"/>
          <w:color w:val="000000"/>
          <w:sz w:val="32"/>
          <w:szCs w:val="32"/>
        </w:rPr>
        <w:t>经费开支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三公大幅下降。预算安排的基本支出保障了正常的工作运转，项目支出</w:t>
      </w:r>
      <w:r>
        <w:rPr>
          <w:rFonts w:hint="eastAsia" w:ascii="仿宋_GB2312" w:hAnsi="仿宋_GB2312" w:eastAsia="仿宋_GB2312" w:cs="仿宋_GB2312"/>
          <w:color w:val="000000"/>
          <w:sz w:val="32"/>
          <w:szCs w:val="32"/>
          <w:lang w:eastAsia="zh-CN"/>
        </w:rPr>
        <w:t>保障了</w:t>
      </w:r>
      <w:r>
        <w:rPr>
          <w:rFonts w:hint="eastAsia" w:ascii="仿宋_GB2312" w:hAnsi="仿宋_GB2312" w:cs="仿宋_GB2312"/>
          <w:color w:val="000000"/>
          <w:sz w:val="32"/>
          <w:szCs w:val="32"/>
          <w:lang w:val="en-US" w:eastAsia="zh-CN"/>
        </w:rPr>
        <w:t>人口</w:t>
      </w:r>
      <w:r>
        <w:rPr>
          <w:rFonts w:hint="eastAsia" w:ascii="仿宋_GB2312" w:hAnsi="仿宋_GB2312" w:eastAsia="仿宋_GB2312" w:cs="仿宋_GB2312"/>
          <w:color w:val="000000"/>
          <w:sz w:val="32"/>
          <w:szCs w:val="32"/>
          <w:lang w:eastAsia="zh-CN"/>
        </w:rPr>
        <w:t>普查等统计调查的有效进行</w:t>
      </w:r>
      <w:r>
        <w:rPr>
          <w:rFonts w:hint="eastAsia" w:ascii="仿宋_GB2312" w:hAnsi="仿宋_GB2312" w:eastAsia="仿宋_GB2312" w:cs="仿宋_GB2312"/>
          <w:color w:val="000000"/>
          <w:sz w:val="32"/>
          <w:szCs w:val="32"/>
        </w:rPr>
        <w:t>，在执行上严格遵守各项财经纪律，严守法律底线、纪律底线、道德底线。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color w:val="000000"/>
          <w:sz w:val="32"/>
          <w:szCs w:val="32"/>
        </w:rPr>
      </w:pPr>
      <w:r>
        <w:rPr>
          <w:rFonts w:hint="eastAsia" w:ascii="仿宋_GB2312" w:hAnsi="仿宋_GB2312" w:cs="仿宋_GB2312"/>
          <w:color w:val="000000"/>
          <w:sz w:val="32"/>
          <w:szCs w:val="32"/>
          <w:lang w:val="en-US" w:eastAsia="zh-CN"/>
        </w:rPr>
        <w:t>5.2021</w:t>
      </w:r>
      <w:r>
        <w:rPr>
          <w:rFonts w:hint="eastAsia" w:ascii="仿宋_GB2312" w:hAnsi="仿宋_GB2312" w:eastAsia="仿宋_GB2312" w:cs="仿宋_GB2312"/>
          <w:color w:val="000000"/>
          <w:sz w:val="32"/>
          <w:szCs w:val="32"/>
          <w:lang w:val="en-US" w:eastAsia="zh-CN"/>
        </w:rPr>
        <w:t>年本单位</w:t>
      </w:r>
      <w:r>
        <w:rPr>
          <w:rFonts w:hint="eastAsia" w:ascii="仿宋_GB2312" w:hAnsi="仿宋_GB2312" w:eastAsia="仿宋_GB2312" w:cs="仿宋_GB2312"/>
          <w:color w:val="000000"/>
          <w:sz w:val="32"/>
          <w:szCs w:val="32"/>
        </w:rPr>
        <w:t>各方面工作都得到</w:t>
      </w:r>
      <w:r>
        <w:rPr>
          <w:rFonts w:hint="eastAsia" w:ascii="仿宋_GB2312" w:hAnsi="仿宋_GB2312" w:cs="仿宋_GB2312"/>
          <w:color w:val="000000"/>
          <w:sz w:val="32"/>
          <w:szCs w:val="32"/>
          <w:lang w:eastAsia="zh-CN"/>
        </w:rPr>
        <w:t>服务对象</w:t>
      </w:r>
      <w:r>
        <w:rPr>
          <w:rFonts w:hint="eastAsia" w:ascii="仿宋_GB2312" w:hAnsi="仿宋_GB2312" w:eastAsia="仿宋_GB2312" w:cs="仿宋_GB2312"/>
          <w:color w:val="000000"/>
          <w:sz w:val="32"/>
          <w:szCs w:val="32"/>
        </w:rPr>
        <w:t>的肯定和好评。</w:t>
      </w:r>
    </w:p>
    <w:p>
      <w:pPr>
        <w:pStyle w:val="5"/>
        <w:widowControl/>
        <w:numPr>
          <w:ilvl w:val="0"/>
          <w:numId w:val="0"/>
        </w:numPr>
        <w:spacing w:line="540" w:lineRule="exact"/>
        <w:ind w:left="640" w:leftChars="0"/>
        <w:rPr>
          <w:rFonts w:eastAsia="黑体"/>
          <w:sz w:val="32"/>
          <w:szCs w:val="32"/>
        </w:rPr>
      </w:pPr>
      <w:r>
        <w:rPr>
          <w:rFonts w:hint="eastAsia" w:eastAsia="黑体"/>
          <w:sz w:val="32"/>
          <w:szCs w:val="32"/>
          <w:lang w:val="en-US" w:eastAsia="zh-CN"/>
        </w:rPr>
        <w:t>八、</w:t>
      </w:r>
      <w:r>
        <w:rPr>
          <w:rFonts w:eastAsia="黑体"/>
          <w:sz w:val="32"/>
          <w:szCs w:val="32"/>
        </w:rPr>
        <w:t>存在的主要问题及</w:t>
      </w:r>
      <w:r>
        <w:rPr>
          <w:rFonts w:hint="eastAsia" w:eastAsia="黑体"/>
          <w:sz w:val="32"/>
          <w:szCs w:val="32"/>
        </w:rPr>
        <w:t>原因分析</w:t>
      </w:r>
    </w:p>
    <w:p>
      <w:pPr>
        <w:widowControl/>
        <w:snapToGrid w:val="0"/>
        <w:spacing w:line="540" w:lineRule="exact"/>
        <w:ind w:firstLine="640" w:firstLineChars="200"/>
        <w:jc w:val="lef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rPr>
        <w:t>存在的主要问题</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预算编制工作有待细化。预算编制不够明确和细化，预算编制的合理性需要提高，预算执行力度还要进一步加强</w:t>
      </w:r>
      <w:r>
        <w:rPr>
          <w:rFonts w:hint="eastAsia" w:ascii="仿宋_GB2312" w:hAnsi="仿宋_GB2312" w:cs="仿宋_GB2312"/>
          <w:color w:val="0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（二）原因分析</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项目支出年初预算、调整预算及决算数</w:t>
      </w:r>
      <w:r>
        <w:rPr>
          <w:rFonts w:hint="eastAsia" w:ascii="仿宋_GB2312" w:hAnsi="仿宋_GB2312" w:eastAsia="仿宋_GB2312" w:cs="仿宋_GB2312"/>
          <w:color w:val="000000"/>
          <w:kern w:val="0"/>
          <w:sz w:val="32"/>
          <w:szCs w:val="32"/>
          <w:lang w:eastAsia="zh-CN"/>
        </w:rPr>
        <w:t>造成差异的原因如下：</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部分指标</w:t>
      </w:r>
      <w:r>
        <w:rPr>
          <w:rFonts w:hint="eastAsia" w:ascii="仿宋_GB2312" w:hAnsi="仿宋_GB2312" w:cs="仿宋_GB2312"/>
          <w:color w:val="000000"/>
          <w:kern w:val="0"/>
          <w:sz w:val="32"/>
          <w:szCs w:val="32"/>
          <w:lang w:eastAsia="zh-CN"/>
        </w:rPr>
        <w:t>，</w:t>
      </w:r>
      <w:bookmarkStart w:id="0" w:name="_GoBack"/>
      <w:bookmarkEnd w:id="0"/>
      <w:r>
        <w:rPr>
          <w:rFonts w:hint="eastAsia" w:ascii="仿宋_GB2312" w:hAnsi="仿宋_GB2312" w:eastAsia="仿宋_GB2312" w:cs="仿宋_GB2312"/>
          <w:color w:val="000000"/>
          <w:kern w:val="0"/>
          <w:sz w:val="32"/>
          <w:szCs w:val="32"/>
        </w:rPr>
        <w:t>例如局在职干部20</w:t>
      </w:r>
      <w:r>
        <w:rPr>
          <w:rFonts w:hint="eastAsia" w:ascii="仿宋_GB2312" w:hAnsi="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年绩效考核奖</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编外聘用人员绩效考核奖等指标是根据实际数据下达的，这些指标没有直接在部门预算中下达。</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2.2021</w:t>
      </w:r>
      <w:r>
        <w:rPr>
          <w:rFonts w:hint="eastAsia" w:ascii="仿宋_GB2312" w:hAnsi="仿宋_GB2312" w:eastAsia="仿宋_GB2312" w:cs="仿宋_GB2312"/>
          <w:color w:val="000000"/>
          <w:kern w:val="0"/>
          <w:sz w:val="32"/>
          <w:szCs w:val="32"/>
        </w:rPr>
        <w:t>年，长沙市统计局下达了长财行指</w:t>
      </w:r>
      <w:r>
        <w:rPr>
          <w:rFonts w:hint="eastAsia" w:ascii="仿宋_GB2312" w:hAnsi="仿宋_GB2312" w:eastAsia="仿宋_GB2312" w:cs="仿宋_GB2312"/>
          <w:color w:val="000000"/>
          <w:kern w:val="0"/>
          <w:sz w:val="32"/>
          <w:szCs w:val="32"/>
          <w:lang w:eastAsia="zh-CN"/>
        </w:rPr>
        <w:t>〔</w:t>
      </w:r>
      <w:r>
        <w:rPr>
          <w:rFonts w:hint="eastAsia" w:ascii="仿宋_GB2312" w:hAnsi="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lang w:eastAsia="zh-CN"/>
        </w:rPr>
        <w:t>〕</w:t>
      </w:r>
      <w:r>
        <w:rPr>
          <w:rFonts w:hint="eastAsia" w:ascii="仿宋_GB2312" w:hAnsi="仿宋_GB2312" w:cs="仿宋_GB2312"/>
          <w:color w:val="000000"/>
          <w:kern w:val="0"/>
          <w:sz w:val="32"/>
          <w:szCs w:val="32"/>
          <w:lang w:val="en-US" w:eastAsia="zh-CN"/>
        </w:rPr>
        <w:t>036</w:t>
      </w:r>
      <w:r>
        <w:rPr>
          <w:rFonts w:hint="eastAsia" w:ascii="仿宋_GB2312" w:hAnsi="仿宋_GB2312" w:eastAsia="仿宋_GB2312" w:cs="仿宋_GB2312"/>
          <w:color w:val="000000"/>
          <w:kern w:val="0"/>
          <w:sz w:val="32"/>
          <w:szCs w:val="32"/>
        </w:rPr>
        <w:t>号</w:t>
      </w:r>
      <w:r>
        <w:rPr>
          <w:rFonts w:hint="eastAsia" w:ascii="仿宋_GB2312" w:hAnsi="仿宋_GB2312" w:cs="仿宋_GB2312"/>
          <w:color w:val="000000"/>
          <w:kern w:val="0"/>
          <w:sz w:val="32"/>
          <w:szCs w:val="32"/>
          <w:lang w:val="en-US" w:eastAsia="zh-CN"/>
        </w:rPr>
        <w:t>2020年度</w:t>
      </w:r>
      <w:r>
        <w:rPr>
          <w:rFonts w:hint="eastAsia" w:ascii="仿宋_GB2312" w:hAnsi="仿宋_GB2312" w:eastAsia="仿宋_GB2312" w:cs="仿宋_GB2312"/>
          <w:color w:val="000000"/>
          <w:kern w:val="0"/>
          <w:sz w:val="32"/>
          <w:szCs w:val="32"/>
        </w:rPr>
        <w:t>“四上”</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cs="仿宋_GB2312"/>
          <w:color w:val="000000"/>
          <w:kern w:val="0"/>
          <w:sz w:val="32"/>
          <w:szCs w:val="32"/>
          <w:lang w:eastAsia="zh-CN"/>
        </w:rPr>
        <w:t>统计工作目标管理考核</w:t>
      </w:r>
      <w:r>
        <w:rPr>
          <w:rFonts w:hint="eastAsia" w:ascii="仿宋_GB2312" w:hAnsi="仿宋_GB2312" w:eastAsia="仿宋_GB2312" w:cs="仿宋_GB2312"/>
          <w:color w:val="000000"/>
          <w:kern w:val="0"/>
          <w:sz w:val="32"/>
          <w:szCs w:val="32"/>
          <w:lang w:eastAsia="zh-CN"/>
        </w:rPr>
        <w:t>“以奖代补”</w:t>
      </w:r>
      <w:r>
        <w:rPr>
          <w:rFonts w:hint="eastAsia" w:ascii="仿宋_GB2312" w:hAnsi="仿宋_GB2312" w:eastAsia="仿宋_GB2312" w:cs="仿宋_GB2312"/>
          <w:color w:val="000000"/>
          <w:kern w:val="0"/>
          <w:sz w:val="32"/>
          <w:szCs w:val="32"/>
        </w:rPr>
        <w:t>经费，</w:t>
      </w:r>
      <w:r>
        <w:rPr>
          <w:rFonts w:hint="eastAsia" w:ascii="仿宋_GB2312" w:hAnsi="仿宋_GB2312" w:eastAsia="仿宋_GB2312" w:cs="仿宋_GB2312"/>
          <w:color w:val="000000"/>
          <w:kern w:val="0"/>
          <w:sz w:val="32"/>
          <w:szCs w:val="32"/>
          <w:lang w:eastAsia="zh-CN"/>
        </w:rPr>
        <w:t>长财行指〔</w:t>
      </w:r>
      <w:r>
        <w:rPr>
          <w:rFonts w:hint="eastAsia" w:ascii="仿宋_GB2312" w:hAnsi="仿宋_GB2312" w:cs="仿宋_GB2312"/>
          <w:color w:val="000000"/>
          <w:kern w:val="0"/>
          <w:sz w:val="32"/>
          <w:szCs w:val="32"/>
          <w:lang w:val="en-US" w:eastAsia="zh-CN"/>
        </w:rPr>
        <w:t>2021</w:t>
      </w:r>
      <w:r>
        <w:rPr>
          <w:rFonts w:hint="eastAsia" w:ascii="仿宋_GB2312" w:hAnsi="仿宋_GB2312" w:eastAsia="仿宋_GB2312" w:cs="仿宋_GB2312"/>
          <w:color w:val="000000"/>
          <w:kern w:val="0"/>
          <w:sz w:val="32"/>
          <w:szCs w:val="32"/>
          <w:lang w:eastAsia="zh-CN"/>
        </w:rPr>
        <w:t>〕</w:t>
      </w:r>
      <w:r>
        <w:rPr>
          <w:rFonts w:hint="eastAsia" w:ascii="仿宋_GB2312" w:hAnsi="仿宋_GB2312" w:cs="仿宋_GB2312"/>
          <w:color w:val="000000"/>
          <w:kern w:val="0"/>
          <w:sz w:val="32"/>
          <w:szCs w:val="32"/>
          <w:lang w:val="en-US" w:eastAsia="zh-CN"/>
        </w:rPr>
        <w:t>050</w:t>
      </w:r>
      <w:r>
        <w:rPr>
          <w:rFonts w:hint="eastAsia" w:ascii="仿宋_GB2312" w:hAnsi="仿宋_GB2312" w:eastAsia="仿宋_GB2312" w:cs="仿宋_GB2312"/>
          <w:color w:val="000000"/>
          <w:kern w:val="0"/>
          <w:sz w:val="32"/>
          <w:szCs w:val="32"/>
          <w:lang w:val="en-US" w:eastAsia="zh-CN"/>
        </w:rPr>
        <w:t>号</w:t>
      </w:r>
      <w:r>
        <w:rPr>
          <w:rFonts w:hint="eastAsia" w:ascii="仿宋_GB2312" w:hAnsi="仿宋_GB2312" w:cs="仿宋_GB2312"/>
          <w:color w:val="000000"/>
          <w:kern w:val="0"/>
          <w:sz w:val="32"/>
          <w:szCs w:val="32"/>
          <w:lang w:val="en-US" w:eastAsia="zh-CN"/>
        </w:rPr>
        <w:t>2021年基层统计调查补助</w:t>
      </w:r>
      <w:r>
        <w:rPr>
          <w:rFonts w:hint="eastAsia" w:ascii="仿宋_GB2312" w:hAnsi="仿宋_GB2312" w:eastAsia="仿宋_GB2312" w:cs="仿宋_GB2312"/>
          <w:color w:val="000000"/>
          <w:kern w:val="0"/>
          <w:sz w:val="32"/>
          <w:szCs w:val="32"/>
          <w:lang w:val="en-US" w:eastAsia="zh-CN"/>
        </w:rPr>
        <w:t>经费</w:t>
      </w:r>
      <w:r>
        <w:rPr>
          <w:rFonts w:hint="eastAsia" w:ascii="仿宋_GB2312" w:hAnsi="仿宋_GB2312" w:cs="仿宋_GB2312"/>
          <w:color w:val="000000"/>
          <w:kern w:val="0"/>
          <w:sz w:val="32"/>
          <w:szCs w:val="32"/>
          <w:lang w:val="en-US" w:eastAsia="zh-CN"/>
        </w:rPr>
        <w:t>等指标</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3.2021</w:t>
      </w:r>
      <w:r>
        <w:rPr>
          <w:rFonts w:hint="eastAsia" w:ascii="仿宋_GB2312" w:hAnsi="仿宋_GB2312" w:eastAsia="仿宋_GB2312" w:cs="仿宋_GB2312"/>
          <w:color w:val="000000"/>
          <w:kern w:val="0"/>
          <w:sz w:val="32"/>
          <w:szCs w:val="32"/>
          <w:lang w:val="en-US" w:eastAsia="zh-CN"/>
        </w:rPr>
        <w:t>年部分指标采用的指标分解方式拨付给街道。</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cs="仿宋_GB2312"/>
          <w:color w:val="000000"/>
          <w:kern w:val="0"/>
          <w:sz w:val="32"/>
          <w:szCs w:val="32"/>
          <w:lang w:val="en-US" w:eastAsia="zh-CN"/>
        </w:rPr>
        <w:t>4.2021</w:t>
      </w:r>
      <w:r>
        <w:rPr>
          <w:rFonts w:hint="eastAsia" w:ascii="仿宋_GB2312" w:hAnsi="仿宋_GB2312" w:eastAsia="仿宋_GB2312" w:cs="仿宋_GB2312"/>
          <w:color w:val="000000"/>
          <w:kern w:val="0"/>
          <w:sz w:val="32"/>
          <w:szCs w:val="32"/>
        </w:rPr>
        <w:t>年的部分支出是用了以前年度的结余指标。</w:t>
      </w:r>
    </w:p>
    <w:p>
      <w:pPr>
        <w:pStyle w:val="5"/>
        <w:widowControl/>
        <w:numPr>
          <w:ilvl w:val="0"/>
          <w:numId w:val="0"/>
        </w:numPr>
        <w:spacing w:line="540" w:lineRule="exact"/>
        <w:ind w:left="640" w:leftChars="0"/>
        <w:rPr>
          <w:rFonts w:hint="eastAsia" w:eastAsia="黑体"/>
          <w:sz w:val="32"/>
          <w:szCs w:val="32"/>
        </w:rPr>
      </w:pPr>
      <w:r>
        <w:rPr>
          <w:rFonts w:hint="eastAsia" w:eastAsia="黑体"/>
          <w:sz w:val="32"/>
          <w:szCs w:val="32"/>
          <w:lang w:val="en-US" w:eastAsia="zh-CN"/>
        </w:rPr>
        <w:t>九、</w:t>
      </w:r>
      <w:r>
        <w:rPr>
          <w:rFonts w:hint="eastAsia" w:eastAsia="黑体"/>
          <w:sz w:val="32"/>
          <w:szCs w:val="32"/>
        </w:rPr>
        <w:t>下一步改进措施</w:t>
      </w:r>
    </w:p>
    <w:p>
      <w:pPr>
        <w:keepNext w:val="0"/>
        <w:keepLines w:val="0"/>
        <w:pageBreakBefore w:val="0"/>
        <w:widowControl/>
        <w:kinsoku/>
        <w:wordWrap/>
        <w:overflowPunct/>
        <w:topLinePunct w:val="0"/>
        <w:autoSpaceDE/>
        <w:autoSpaceDN/>
        <w:bidi w:val="0"/>
        <w:adjustRightInd/>
        <w:snapToGrid w:val="0"/>
        <w:spacing w:line="560" w:lineRule="exact"/>
        <w:ind w:left="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下一步将继续</w:t>
      </w:r>
      <w:r>
        <w:rPr>
          <w:rFonts w:hint="eastAsia" w:ascii="仿宋_GB2312" w:hAnsi="仿宋_GB2312" w:eastAsia="仿宋_GB2312" w:cs="仿宋_GB2312"/>
          <w:color w:val="000000"/>
          <w:kern w:val="0"/>
          <w:sz w:val="32"/>
          <w:szCs w:val="32"/>
        </w:rPr>
        <w:t>加强预算</w:t>
      </w:r>
      <w:r>
        <w:rPr>
          <w:rFonts w:hint="eastAsia" w:ascii="仿宋_GB2312" w:hAnsi="仿宋_GB2312" w:eastAsia="仿宋_GB2312" w:cs="仿宋_GB2312"/>
          <w:color w:val="000000"/>
          <w:kern w:val="0"/>
          <w:sz w:val="32"/>
          <w:szCs w:val="32"/>
          <w:lang w:eastAsia="zh-CN"/>
        </w:rPr>
        <w:t>编制、</w:t>
      </w:r>
      <w:r>
        <w:rPr>
          <w:rFonts w:hint="eastAsia" w:ascii="仿宋_GB2312" w:hAnsi="仿宋_GB2312" w:eastAsia="仿宋_GB2312" w:cs="仿宋_GB2312"/>
          <w:color w:val="000000"/>
          <w:kern w:val="0"/>
          <w:sz w:val="32"/>
          <w:szCs w:val="32"/>
        </w:rPr>
        <w:t>执行管理。进一步提高预算执行的质量和效率，盘活存量资金，避免财政资金闲置浪费。</w:t>
      </w:r>
    </w:p>
    <w:p>
      <w:pPr>
        <w:pStyle w:val="5"/>
        <w:widowControl/>
        <w:numPr>
          <w:ilvl w:val="0"/>
          <w:numId w:val="0"/>
        </w:numPr>
        <w:spacing w:line="540" w:lineRule="exact"/>
        <w:ind w:left="640" w:leftChars="0"/>
        <w:rPr>
          <w:rFonts w:hint="eastAsia" w:eastAsia="黑体"/>
          <w:sz w:val="32"/>
          <w:szCs w:val="32"/>
        </w:rPr>
      </w:pPr>
      <w:r>
        <w:rPr>
          <w:rFonts w:hint="eastAsia" w:eastAsia="黑体"/>
          <w:color w:val="000000"/>
          <w:sz w:val="32"/>
          <w:szCs w:val="32"/>
          <w:lang w:val="en-US" w:eastAsia="zh-CN"/>
        </w:rPr>
        <w:t>十、</w:t>
      </w:r>
      <w:r>
        <w:rPr>
          <w:rFonts w:hint="eastAsia" w:eastAsia="黑体"/>
          <w:color w:val="000000"/>
          <w:sz w:val="32"/>
          <w:szCs w:val="32"/>
        </w:rPr>
        <w:t>其他</w:t>
      </w:r>
      <w:r>
        <w:rPr>
          <w:rFonts w:hint="eastAsia" w:eastAsia="黑体"/>
          <w:sz w:val="32"/>
          <w:szCs w:val="32"/>
        </w:rPr>
        <w:t>绩效自评工作情况说明</w:t>
      </w:r>
    </w:p>
    <w:p>
      <w:pPr>
        <w:widowControl/>
        <w:numPr>
          <w:ilvl w:val="0"/>
          <w:numId w:val="0"/>
        </w:numPr>
        <w:spacing w:line="600" w:lineRule="exact"/>
        <w:ind w:firstLine="640" w:firstLineChars="200"/>
        <w:jc w:val="left"/>
        <w:rPr>
          <w:rFonts w:hint="default"/>
          <w:color w:val="000000"/>
          <w:sz w:val="32"/>
          <w:szCs w:val="32"/>
          <w:lang w:val="en-US" w:eastAsia="zh-CN"/>
        </w:rPr>
      </w:pPr>
      <w:r>
        <w:rPr>
          <w:rFonts w:hint="eastAsia"/>
          <w:color w:val="000000"/>
          <w:sz w:val="32"/>
          <w:szCs w:val="32"/>
          <w:lang w:val="en-US" w:eastAsia="zh-CN"/>
        </w:rPr>
        <w:t>2021年绩效自评成绩为95.75分，较好的完成了全年的工作目标及绩效目标。同时自评结果将</w:t>
      </w:r>
      <w:r>
        <w:rPr>
          <w:rFonts w:hint="eastAsia" w:ascii="仿宋_GB2312" w:hAnsi="仿宋_GB2312" w:eastAsia="仿宋_GB2312" w:cs="仿宋_GB2312"/>
          <w:sz w:val="32"/>
          <w:szCs w:val="32"/>
          <w:lang w:val="en-US" w:eastAsia="zh-CN"/>
        </w:rPr>
        <w:t>纳入</w:t>
      </w:r>
      <w:r>
        <w:rPr>
          <w:rFonts w:hint="eastAsia" w:ascii="仿宋_GB2312" w:hAnsi="仿宋_GB2312" w:cs="仿宋_GB2312"/>
          <w:sz w:val="32"/>
          <w:szCs w:val="32"/>
          <w:lang w:val="en-US" w:eastAsia="zh-CN"/>
        </w:rPr>
        <w:t>本年度</w:t>
      </w:r>
      <w:r>
        <w:rPr>
          <w:rFonts w:hint="eastAsia" w:ascii="仿宋_GB2312" w:hAnsi="仿宋_GB2312" w:eastAsia="仿宋_GB2312" w:cs="仿宋_GB2312"/>
          <w:sz w:val="32"/>
          <w:szCs w:val="32"/>
          <w:lang w:val="en-US" w:eastAsia="zh-CN"/>
        </w:rPr>
        <w:t>财政预、决算公开</w:t>
      </w:r>
      <w:r>
        <w:rPr>
          <w:rFonts w:hint="eastAsia" w:ascii="仿宋_GB2312" w:hAnsi="仿宋_GB2312" w:cs="仿宋_GB2312"/>
          <w:sz w:val="32"/>
          <w:szCs w:val="32"/>
          <w:lang w:val="en-US" w:eastAsia="zh-CN"/>
        </w:rPr>
        <w:t>。</w:t>
      </w:r>
    </w:p>
    <w:p>
      <w:pPr>
        <w:widowControl/>
        <w:spacing w:line="540" w:lineRule="exact"/>
        <w:ind w:firstLine="645"/>
        <w:jc w:val="left"/>
        <w:rPr>
          <w:rFonts w:hint="eastAsia" w:ascii="仿宋_GB2312" w:hAnsi="仿宋_GB2312" w:cs="仿宋_GB2312"/>
          <w:sz w:val="32"/>
          <w:szCs w:val="32"/>
        </w:rPr>
      </w:pPr>
    </w:p>
    <w:p>
      <w:pPr>
        <w:widowControl/>
        <w:spacing w:line="540" w:lineRule="exact"/>
        <w:ind w:firstLine="645"/>
        <w:jc w:val="left"/>
        <w:rPr>
          <w:rFonts w:hint="eastAsia" w:ascii="仿宋_GB2312" w:hAnsi="仿宋_GB2312" w:cs="仿宋_GB2312"/>
          <w:sz w:val="32"/>
          <w:szCs w:val="32"/>
        </w:rPr>
      </w:pPr>
      <w:r>
        <w:rPr>
          <w:rFonts w:hint="eastAsia" w:ascii="仿宋_GB2312" w:hAnsi="仿宋_GB2312" w:cs="仿宋_GB2312"/>
          <w:sz w:val="32"/>
          <w:szCs w:val="32"/>
        </w:rPr>
        <w:t>附件：1.部门整体支出绩效评价基础数据表</w:t>
      </w:r>
    </w:p>
    <w:p>
      <w:pPr>
        <w:widowControl/>
        <w:spacing w:line="540" w:lineRule="exact"/>
        <w:ind w:firstLine="1600" w:firstLineChars="500"/>
        <w:jc w:val="left"/>
        <w:rPr>
          <w:rFonts w:eastAsia="黑体"/>
          <w:sz w:val="32"/>
          <w:szCs w:val="32"/>
        </w:rPr>
        <w:sectPr>
          <w:type w:val="nextColumn"/>
          <w:pgSz w:w="11907" w:h="16840"/>
          <w:pgMar w:top="2098" w:right="1474" w:bottom="1701" w:left="1588" w:header="851" w:footer="1247" w:gutter="0"/>
          <w:paperSrc w:first="7" w:other="7"/>
          <w:cols w:space="720" w:num="1"/>
          <w:docGrid w:linePitch="381" w:charSpace="-5735"/>
        </w:sectPr>
      </w:pPr>
      <w:r>
        <w:rPr>
          <w:rFonts w:hint="eastAsia" w:ascii="仿宋_GB2312" w:hAnsi="仿宋_GB2312" w:cs="仿宋_GB2312"/>
          <w:sz w:val="32"/>
          <w:szCs w:val="32"/>
        </w:rPr>
        <w:t>2.部门整体支出绩效自评表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A180"/>
    <w:multiLevelType w:val="singleLevel"/>
    <w:tmpl w:val="19ADA180"/>
    <w:lvl w:ilvl="0" w:tentative="0">
      <w:start w:val="1"/>
      <w:numFmt w:val="chineseCounting"/>
      <w:suff w:val="nothing"/>
      <w:lvlText w:val="（%1）"/>
      <w:lvlJc w:val="left"/>
      <w:rPr>
        <w:rFonts w:hint="eastAsia"/>
      </w:rPr>
    </w:lvl>
  </w:abstractNum>
  <w:abstractNum w:abstractNumId="1">
    <w:nsid w:val="40FB5391"/>
    <w:multiLevelType w:val="singleLevel"/>
    <w:tmpl w:val="40FB539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B2DEA"/>
    <w:rsid w:val="0BB14082"/>
    <w:rsid w:val="127B7F27"/>
    <w:rsid w:val="17FB2DEA"/>
    <w:rsid w:val="260734A0"/>
    <w:rsid w:val="3AC32A70"/>
    <w:rsid w:val="408E7990"/>
    <w:rsid w:val="5F963044"/>
    <w:rsid w:val="613430D2"/>
    <w:rsid w:val="6F977B5F"/>
    <w:rsid w:val="79664AD7"/>
    <w:rsid w:val="7FA8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 w:type="paragraph" w:customStyle="1" w:styleId="6">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2022-04-15T07:59:00Z</dcterms:created>
  <dc:creator>天心区统计局</dc:creator>
  <cp:lastModifiedBy>天心区统计局</cp:lastModifiedBy>
  <cp:lastPrinted>2022-04-19T02:41:08Z</cp:lastPrinted>
  <dcterms:modified xsi:type="dcterms:W3CDTF">2022-04-19T02:41:50Z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844CA625675F4EF8A3A054494A80D207</vt:lpwstr>
  </property>
</Properties>
</file>