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长沙市天心区202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国民经济和社会发展统计公报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长沙市天心区统计局</w:t>
      </w:r>
    </w:p>
    <w:p>
      <w:pPr>
        <w:pStyle w:val="6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30" w:beforeAutospacing="0" w:after="30" w:afterAutospacing="0" w:line="500" w:lineRule="exact"/>
        <w:ind w:firstLine="640" w:firstLineChars="200"/>
        <w:textAlignment w:val="center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年，全区上下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深入贯彻习近平新时代中国特色社会主义思想和党的二十大精神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坚决落实“疫情要防住、经济要稳住、发展要安全”重要要求，强力实施强省会战略，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在中央、省、市和区委的坚强领导下，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承压前行、稳中向好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</w:rPr>
        <w:t>初步核算，全年实现地区生产总值（GDP）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1302.16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4.9</w:t>
      </w:r>
      <w:r>
        <w:rPr>
          <w:rFonts w:ascii="Times New Roman" w:hAnsi="Times New Roman" w:eastAsia="仿宋_GB2312"/>
          <w:sz w:val="32"/>
          <w:szCs w:val="32"/>
        </w:rPr>
        <w:t>%。分产业看，第一产业实现增加值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1.35</w:t>
      </w:r>
      <w:r>
        <w:rPr>
          <w:rFonts w:ascii="Times New Roman" w:hAnsi="Times New Roman" w:eastAsia="仿宋_GB2312"/>
          <w:sz w:val="32"/>
          <w:szCs w:val="32"/>
        </w:rPr>
        <w:t>亿元，下降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8.9</w:t>
      </w:r>
      <w:r>
        <w:rPr>
          <w:rFonts w:ascii="Times New Roman" w:hAnsi="Times New Roman" w:eastAsia="仿宋_GB2312"/>
          <w:sz w:val="32"/>
          <w:szCs w:val="32"/>
        </w:rPr>
        <w:t>%；第二产业实现增加值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407.91</w:t>
      </w:r>
      <w:r>
        <w:rPr>
          <w:rFonts w:ascii="Times New Roman" w:hAnsi="Times New Roman" w:eastAsia="仿宋_GB2312"/>
          <w:sz w:val="32"/>
          <w:szCs w:val="32"/>
        </w:rPr>
        <w:t>亿元，增长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5.8</w:t>
      </w:r>
      <w:r>
        <w:rPr>
          <w:rFonts w:ascii="Times New Roman" w:hAnsi="Times New Roman" w:eastAsia="仿宋_GB2312"/>
          <w:sz w:val="32"/>
          <w:szCs w:val="32"/>
        </w:rPr>
        <w:t>%；第三产业实现增加值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892.90</w:t>
      </w:r>
      <w:r>
        <w:rPr>
          <w:rFonts w:ascii="Times New Roman" w:hAnsi="Times New Roman" w:eastAsia="仿宋_GB2312"/>
          <w:sz w:val="32"/>
          <w:szCs w:val="32"/>
        </w:rPr>
        <w:t>亿元，增长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4.5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ascii="Times New Roman" w:hAnsi="Times New Roman" w:eastAsia="仿宋_GB2312"/>
          <w:sz w:val="32"/>
          <w:szCs w:val="32"/>
          <w:highlight w:val="none"/>
        </w:rPr>
        <w:t>。第一、二、三产业分别拉动GDP增长0、1.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3.2</w:t>
      </w:r>
      <w:r>
        <w:rPr>
          <w:rFonts w:ascii="Times New Roman" w:hAnsi="Times New Roman" w:eastAsia="仿宋_GB2312"/>
          <w:sz w:val="32"/>
          <w:szCs w:val="32"/>
          <w:highlight w:val="none"/>
        </w:rPr>
        <w:t>个百分点，三次产业对GDP增长贡献率分别为-0.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%、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35.1</w:t>
      </w:r>
      <w:r>
        <w:rPr>
          <w:rFonts w:ascii="Times New Roman" w:hAnsi="Times New Roman" w:eastAsia="仿宋_GB2312"/>
          <w:sz w:val="32"/>
          <w:szCs w:val="32"/>
          <w:highlight w:val="none"/>
        </w:rPr>
        <w:t>%和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65.1</w:t>
      </w:r>
      <w:r>
        <w:rPr>
          <w:rFonts w:ascii="Times New Roman" w:hAnsi="Times New Roman" w:eastAsia="仿宋_GB2312"/>
          <w:sz w:val="32"/>
          <w:szCs w:val="32"/>
          <w:highlight w:val="none"/>
        </w:rPr>
        <w:t>%。第一、二、三产业增加值占地区生产总值的比重分别为0.1%、3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1.3</w:t>
      </w:r>
      <w:r>
        <w:rPr>
          <w:rFonts w:ascii="Times New Roman" w:hAnsi="Times New Roman" w:eastAsia="仿宋_GB2312"/>
          <w:sz w:val="32"/>
          <w:szCs w:val="32"/>
          <w:highlight w:val="none"/>
        </w:rPr>
        <w:t>%和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68.6</w:t>
      </w:r>
      <w:r>
        <w:rPr>
          <w:rFonts w:ascii="Times New Roman" w:hAnsi="Times New Roman" w:eastAsia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123825</wp:posOffset>
            </wp:positionV>
            <wp:extent cx="4687570" cy="2623820"/>
            <wp:effectExtent l="4445" t="4445" r="13335" b="19685"/>
            <wp:wrapSquare wrapText="bothSides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0</wp:posOffset>
            </wp:positionV>
            <wp:extent cx="4792345" cy="2595880"/>
            <wp:effectExtent l="4445" t="5080" r="22860" b="8890"/>
            <wp:wrapTopAndBottom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</w:rPr>
        <w:t>全年完成一般公共预算收入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158.08</w:t>
      </w:r>
      <w:r>
        <w:rPr>
          <w:rFonts w:ascii="Times New Roman" w:hAnsi="Times New Roman" w:eastAsia="仿宋_GB2312"/>
          <w:sz w:val="32"/>
          <w:szCs w:val="32"/>
          <w:lang w:val="zh-CN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2.5</w:t>
      </w:r>
      <w:r>
        <w:rPr>
          <w:rFonts w:ascii="Times New Roman" w:hAnsi="Times New Roman" w:eastAsia="仿宋_GB2312"/>
          <w:sz w:val="32"/>
          <w:szCs w:val="32"/>
          <w:lang w:val="zh-CN"/>
        </w:rPr>
        <w:t>%</w:t>
      </w:r>
      <w:r>
        <w:rPr>
          <w:rFonts w:ascii="Times New Roman" w:hAnsi="Times New Roman" w:eastAsia="仿宋_GB2312"/>
          <w:sz w:val="32"/>
          <w:szCs w:val="32"/>
        </w:rPr>
        <w:t>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地方一般公共预算收入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70.48</w:t>
      </w:r>
      <w:r>
        <w:rPr>
          <w:rFonts w:ascii="Times New Roman" w:hAnsi="Times New Roman" w:eastAsia="仿宋_GB2312"/>
          <w:sz w:val="32"/>
          <w:szCs w:val="32"/>
        </w:rPr>
        <w:t>亿元，</w:t>
      </w:r>
      <w:r>
        <w:rPr>
          <w:rFonts w:ascii="Times New Roman" w:hAnsi="Times New Roman" w:eastAsia="仿宋_GB2312"/>
          <w:sz w:val="32"/>
          <w:szCs w:val="32"/>
          <w:lang w:val="zh-CN"/>
        </w:rPr>
        <w:t>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4.9</w:t>
      </w:r>
      <w:r>
        <w:rPr>
          <w:rFonts w:ascii="Times New Roman" w:hAnsi="Times New Roman" w:eastAsia="仿宋_GB2312"/>
          <w:sz w:val="32"/>
          <w:szCs w:val="32"/>
          <w:lang w:val="zh-CN"/>
        </w:rPr>
        <w:t>%。</w:t>
      </w:r>
      <w:r>
        <w:rPr>
          <w:rFonts w:ascii="Times New Roman" w:hAnsi="Times New Roman" w:eastAsia="仿宋_GB2312"/>
          <w:sz w:val="32"/>
          <w:szCs w:val="32"/>
        </w:rPr>
        <w:t>一般公共预算支</w:t>
      </w:r>
      <w:r>
        <w:rPr>
          <w:rFonts w:ascii="Times New Roman" w:hAnsi="Times New Roman" w:eastAsia="仿宋_GB2312"/>
          <w:sz w:val="32"/>
          <w:szCs w:val="32"/>
          <w:highlight w:val="none"/>
        </w:rPr>
        <w:t>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77.90</w:t>
      </w:r>
      <w:r>
        <w:rPr>
          <w:rFonts w:ascii="Times New Roman" w:hAnsi="Times New Roman" w:eastAsia="仿宋_GB2312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1.2</w:t>
      </w:r>
      <w:r>
        <w:rPr>
          <w:rFonts w:ascii="Times New Roman" w:hAnsi="Times New Roman" w:eastAsia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全区城镇新增就业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14486</w:t>
      </w:r>
      <w:r>
        <w:rPr>
          <w:rFonts w:ascii="Times New Roman" w:hAnsi="Times New Roman" w:eastAsia="仿宋_GB2312"/>
          <w:sz w:val="32"/>
          <w:szCs w:val="32"/>
        </w:rPr>
        <w:t>人，失业人员再就业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8138</w:t>
      </w:r>
      <w:r>
        <w:rPr>
          <w:rFonts w:ascii="Times New Roman" w:hAnsi="Times New Roman" w:eastAsia="仿宋_GB2312"/>
          <w:sz w:val="32"/>
          <w:szCs w:val="32"/>
        </w:rPr>
        <w:t>人，就业困难对象再就业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1792</w:t>
      </w:r>
      <w:r>
        <w:rPr>
          <w:rFonts w:ascii="Times New Roman" w:hAnsi="Times New Roman" w:eastAsia="仿宋_GB2312"/>
          <w:sz w:val="32"/>
          <w:szCs w:val="32"/>
        </w:rPr>
        <w:t>人；年末城镇登记失业率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1.59</w:t>
      </w:r>
      <w:r>
        <w:rPr>
          <w:rFonts w:ascii="Times New Roman" w:hAnsi="Times New Roman" w:eastAsia="仿宋_GB2312"/>
          <w:sz w:val="32"/>
          <w:szCs w:val="32"/>
        </w:rPr>
        <w:t>%，零就业家庭100%动态清零；新增农村劳动力转移就业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388</w:t>
      </w:r>
      <w:r>
        <w:rPr>
          <w:rFonts w:ascii="Times New Roman" w:hAnsi="Times New Roman" w:eastAsia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227330</wp:posOffset>
            </wp:positionV>
            <wp:extent cx="4572000" cy="2743200"/>
            <wp:effectExtent l="4445" t="4445" r="14605" b="14605"/>
            <wp:wrapSquare wrapText="bothSides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全年实现农林牧渔业增加值1.4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亿元，比上年下降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8.8</w:t>
      </w:r>
      <w:r>
        <w:rPr>
          <w:rFonts w:ascii="Times New Roman" w:hAnsi="Times New Roman" w:eastAsia="仿宋_GB2312"/>
          <w:sz w:val="32"/>
          <w:szCs w:val="32"/>
          <w:highlight w:val="none"/>
        </w:rPr>
        <w:t>%，其中，农林牧渔服务业增加值0.06亿元，下降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6.0</w:t>
      </w:r>
      <w:r>
        <w:rPr>
          <w:rFonts w:ascii="Times New Roman" w:hAnsi="Times New Roman" w:eastAsia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全年全部工业增加值比上年增长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6.7</w:t>
      </w:r>
      <w:r>
        <w:rPr>
          <w:rFonts w:ascii="Times New Roman" w:hAnsi="Times New Roman" w:eastAsia="仿宋_GB2312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其</w:t>
      </w:r>
      <w:r>
        <w:rPr>
          <w:rFonts w:ascii="Times New Roman" w:hAnsi="Times New Roman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规模以上工业增加值增长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6.6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2798445</wp:posOffset>
            </wp:positionV>
            <wp:extent cx="4589780" cy="2500630"/>
            <wp:effectExtent l="4445" t="4445" r="15875" b="9525"/>
            <wp:wrapSquare wrapText="bothSides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140970</wp:posOffset>
            </wp:positionV>
            <wp:extent cx="4572000" cy="2636520"/>
            <wp:effectExtent l="4445" t="4445" r="14605" b="6985"/>
            <wp:wrapTopAndBottom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全区具有建筑业资质等级的独立核算企业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76</w:t>
      </w:r>
      <w:r>
        <w:rPr>
          <w:rFonts w:ascii="Times New Roman" w:hAnsi="Times New Roman" w:eastAsia="仿宋_GB2312"/>
          <w:sz w:val="32"/>
          <w:szCs w:val="32"/>
          <w:highlight w:val="none"/>
        </w:rPr>
        <w:t>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其中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特级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家、一级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45</w:t>
      </w:r>
      <w:r>
        <w:rPr>
          <w:rFonts w:ascii="Times New Roman" w:hAnsi="Times New Roman" w:eastAsia="仿宋_GB2312"/>
          <w:sz w:val="32"/>
          <w:szCs w:val="32"/>
          <w:highlight w:val="none"/>
        </w:rPr>
        <w:t>家。全年完成建筑业总产值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1596.42</w:t>
      </w:r>
      <w:r>
        <w:rPr>
          <w:rFonts w:ascii="Times New Roman" w:hAnsi="Times New Roman" w:eastAsia="仿宋_GB2312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10.6</w:t>
      </w:r>
      <w:r>
        <w:rPr>
          <w:rFonts w:ascii="Times New Roman" w:hAnsi="Times New Roman" w:eastAsia="仿宋_GB2312"/>
          <w:sz w:val="32"/>
          <w:szCs w:val="32"/>
          <w:highlight w:val="none"/>
        </w:rPr>
        <w:t>%；实现建筑业增加值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267.57</w:t>
      </w:r>
      <w:r>
        <w:rPr>
          <w:rFonts w:ascii="Times New Roman" w:hAnsi="Times New Roman" w:eastAsia="仿宋_GB2312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5.3</w:t>
      </w:r>
      <w:r>
        <w:rPr>
          <w:rFonts w:ascii="Times New Roman" w:hAnsi="Times New Roman" w:eastAsia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center"/>
        <w:textAlignment w:val="auto"/>
        <w:rPr>
          <w:rFonts w:ascii="Times New Roman" w:hAnsi="Times New Roman" w:eastAsia="黑体"/>
          <w:sz w:val="32"/>
          <w:szCs w:val="32"/>
          <w:highlight w:val="none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40005</wp:posOffset>
            </wp:positionV>
            <wp:extent cx="4721225" cy="2689225"/>
            <wp:effectExtent l="4445" t="5080" r="17780" b="10795"/>
            <wp:wrapTopAndBottom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eastAsia="黑体"/>
          <w:sz w:val="32"/>
          <w:szCs w:val="32"/>
          <w:highlight w:val="none"/>
        </w:rPr>
        <w:t>四、固定资产投资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全年完成全社会固定资产投资比上年增长9.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%。全区计划总投资超过5000万元的在库项目（不含房地产开发）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83</w:t>
      </w:r>
      <w:r>
        <w:rPr>
          <w:rFonts w:ascii="Times New Roman" w:hAnsi="Times New Roman" w:eastAsia="仿宋_GB2312"/>
          <w:sz w:val="32"/>
          <w:szCs w:val="32"/>
          <w:highlight w:val="none"/>
        </w:rPr>
        <w:t>个，完成投资占固定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资产</w:t>
      </w:r>
      <w:r>
        <w:rPr>
          <w:rFonts w:ascii="Times New Roman" w:hAnsi="Times New Roman" w:eastAsia="仿宋_GB2312"/>
          <w:sz w:val="32"/>
          <w:szCs w:val="32"/>
          <w:highlight w:val="none"/>
        </w:rPr>
        <w:t>投资总额的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51.5</w:t>
      </w:r>
      <w:r>
        <w:rPr>
          <w:rFonts w:ascii="Times New Roman" w:hAnsi="Times New Roman" w:eastAsia="仿宋_GB2312"/>
          <w:sz w:val="32"/>
          <w:szCs w:val="32"/>
          <w:highlight w:val="none"/>
        </w:rPr>
        <w:t>%。分产业看，第二产业完成投资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11.3</w:t>
      </w:r>
      <w:r>
        <w:rPr>
          <w:rFonts w:ascii="Times New Roman" w:hAnsi="Times New Roman" w:eastAsia="仿宋_GB2312"/>
          <w:sz w:val="32"/>
          <w:szCs w:val="32"/>
          <w:highlight w:val="none"/>
        </w:rPr>
        <w:t>%，其中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工业投资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14.2</w:t>
      </w:r>
      <w:r>
        <w:rPr>
          <w:rFonts w:ascii="Times New Roman" w:hAnsi="Times New Roman" w:eastAsia="仿宋_GB2312"/>
          <w:sz w:val="32"/>
          <w:szCs w:val="32"/>
          <w:highlight w:val="none"/>
        </w:rPr>
        <w:t>%；第三产业完成投资增长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7.1</w:t>
      </w:r>
      <w:r>
        <w:rPr>
          <w:rFonts w:ascii="Times New Roman" w:hAnsi="Times New Roman" w:eastAsia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Times New Roman" w:hAnsi="Times New Roman" w:eastAsia="仿宋_GB2312"/>
          <w:sz w:val="32"/>
          <w:szCs w:val="32"/>
          <w:highlight w:val="yellow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9525</wp:posOffset>
            </wp:positionV>
            <wp:extent cx="4599940" cy="2407285"/>
            <wp:effectExtent l="4445" t="4445" r="5715" b="7620"/>
            <wp:wrapSquare wrapText="bothSides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全年房地产开发投资比上年增长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13.7</w:t>
      </w:r>
      <w:r>
        <w:rPr>
          <w:rFonts w:ascii="Times New Roman" w:hAnsi="Times New Roman" w:eastAsia="仿宋_GB2312"/>
          <w:sz w:val="32"/>
          <w:szCs w:val="32"/>
        </w:rPr>
        <w:t>%；商品房销售面积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109.10</w:t>
      </w:r>
      <w:r>
        <w:rPr>
          <w:rFonts w:ascii="Times New Roman" w:hAnsi="Times New Roman" w:eastAsia="仿宋_GB2312"/>
          <w:sz w:val="32"/>
          <w:szCs w:val="32"/>
        </w:rPr>
        <w:t>万平方米，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17.9</w:t>
      </w:r>
      <w:r>
        <w:rPr>
          <w:rFonts w:ascii="Times New Roman" w:hAnsi="Times New Roman" w:eastAsia="仿宋_GB2312"/>
          <w:sz w:val="32"/>
          <w:szCs w:val="32"/>
        </w:rPr>
        <w:t>%，其中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住宅销售面积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93.96</w:t>
      </w:r>
      <w:r>
        <w:rPr>
          <w:rFonts w:ascii="Times New Roman" w:hAnsi="Times New Roman" w:eastAsia="仿宋_GB2312"/>
          <w:sz w:val="32"/>
          <w:szCs w:val="32"/>
        </w:rPr>
        <w:t>万平方米，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18.3</w:t>
      </w:r>
      <w:r>
        <w:rPr>
          <w:rFonts w:ascii="Times New Roman" w:hAnsi="Times New Roman" w:eastAsia="仿宋_GB2312"/>
          <w:sz w:val="32"/>
          <w:szCs w:val="32"/>
        </w:rPr>
        <w:t>%；商品房销售额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120.11</w:t>
      </w:r>
      <w:r>
        <w:rPr>
          <w:rFonts w:ascii="Times New Roman" w:hAnsi="Times New Roman" w:eastAsia="仿宋_GB2312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21.8</w:t>
      </w:r>
      <w:r>
        <w:rPr>
          <w:rFonts w:ascii="Times New Roman" w:hAnsi="Times New Roman" w:eastAsia="仿宋_GB2312"/>
          <w:sz w:val="32"/>
          <w:szCs w:val="32"/>
        </w:rPr>
        <w:t>%，其中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住宅销售额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104.32</w:t>
      </w:r>
      <w:r>
        <w:rPr>
          <w:rFonts w:ascii="Times New Roman" w:hAnsi="Times New Roman" w:eastAsia="仿宋_GB2312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21.8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五、国内贸易、商务和招商引资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全年社会消费品零售总额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465.96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0.6</w:t>
      </w:r>
      <w:r>
        <w:rPr>
          <w:rFonts w:ascii="Times New Roman" w:hAnsi="Times New Roman" w:eastAsia="仿宋_GB2312"/>
          <w:sz w:val="32"/>
          <w:szCs w:val="32"/>
        </w:rPr>
        <w:t>%，占全市社会消费品零售总额比重为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8.9</w:t>
      </w:r>
      <w:r>
        <w:rPr>
          <w:rFonts w:ascii="Times New Roman" w:hAnsi="Times New Roman" w:eastAsia="仿宋_GB2312"/>
          <w:sz w:val="32"/>
          <w:szCs w:val="32"/>
        </w:rPr>
        <w:t>%。按行业分，批发业实现零售总额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46.83</w:t>
      </w:r>
      <w:r>
        <w:rPr>
          <w:rFonts w:ascii="Times New Roman" w:hAnsi="Times New Roman" w:eastAsia="仿宋_GB2312"/>
          <w:sz w:val="32"/>
          <w:szCs w:val="32"/>
        </w:rPr>
        <w:t>亿元，增长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7.0</w:t>
      </w:r>
      <w:r>
        <w:rPr>
          <w:rFonts w:ascii="Times New Roman" w:hAnsi="Times New Roman" w:eastAsia="仿宋_GB2312"/>
          <w:sz w:val="32"/>
          <w:szCs w:val="32"/>
        </w:rPr>
        <w:t>%；零售业实现零售总额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350.99</w:t>
      </w:r>
      <w:r>
        <w:rPr>
          <w:rFonts w:ascii="Times New Roman" w:hAnsi="Times New Roman" w:eastAsia="仿宋_GB2312"/>
          <w:sz w:val="32"/>
          <w:szCs w:val="32"/>
        </w:rPr>
        <w:t>亿元，增长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0.3</w:t>
      </w:r>
      <w:r>
        <w:rPr>
          <w:rFonts w:ascii="Times New Roman" w:hAnsi="Times New Roman" w:eastAsia="仿宋_GB2312"/>
          <w:sz w:val="32"/>
          <w:szCs w:val="32"/>
        </w:rPr>
        <w:t>%；住宿业实现零售总额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4.63</w:t>
      </w:r>
      <w:r>
        <w:rPr>
          <w:rFonts w:ascii="Times New Roman" w:hAnsi="Times New Roman" w:eastAsia="仿宋_GB2312"/>
          <w:sz w:val="32"/>
          <w:szCs w:val="32"/>
        </w:rPr>
        <w:t>亿元，增长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4.1</w:t>
      </w:r>
      <w:r>
        <w:rPr>
          <w:rFonts w:ascii="Times New Roman" w:hAnsi="Times New Roman" w:eastAsia="仿宋_GB2312"/>
          <w:sz w:val="32"/>
          <w:szCs w:val="32"/>
        </w:rPr>
        <w:t>%；餐饮业实现零售总额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63.52</w:t>
      </w:r>
      <w:r>
        <w:rPr>
          <w:rFonts w:ascii="Times New Roman" w:hAnsi="Times New Roman" w:eastAsia="仿宋_GB2312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2.2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98425</wp:posOffset>
            </wp:positionV>
            <wp:extent cx="4732655" cy="2686050"/>
            <wp:effectExtent l="4445" t="5080" r="6350" b="13970"/>
            <wp:wrapSquare wrapText="bothSides"/>
            <wp:docPr id="1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限额以上批发和零售业单位商品零售额比上年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下降</w:t>
      </w: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%。分类别看，粮食、食品类零售额增长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14.3</w:t>
      </w:r>
      <w:r>
        <w:rPr>
          <w:rFonts w:ascii="Times New Roman" w:hAnsi="Times New Roman" w:eastAsia="仿宋_GB2312"/>
          <w:sz w:val="32"/>
          <w:szCs w:val="32"/>
        </w:rPr>
        <w:t>%；服装、鞋帽、针纺织品类下降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13.9</w:t>
      </w:r>
      <w:r>
        <w:rPr>
          <w:rFonts w:ascii="Times New Roman" w:hAnsi="Times New Roman" w:eastAsia="仿宋_GB2312"/>
          <w:sz w:val="32"/>
          <w:szCs w:val="32"/>
        </w:rPr>
        <w:t>%；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日用品类增长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14.5%；</w:t>
      </w:r>
      <w:r>
        <w:rPr>
          <w:rFonts w:ascii="Times New Roman" w:hAnsi="Times New Roman" w:eastAsia="仿宋_GB2312"/>
          <w:sz w:val="32"/>
          <w:szCs w:val="32"/>
        </w:rPr>
        <w:t>家用电器和音像器材类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41.5</w:t>
      </w:r>
      <w:r>
        <w:rPr>
          <w:rFonts w:ascii="Times New Roman" w:hAnsi="Times New Roman" w:eastAsia="仿宋_GB2312"/>
          <w:sz w:val="32"/>
          <w:szCs w:val="32"/>
        </w:rPr>
        <w:t>%；石油及制品类增长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29.1</w:t>
      </w:r>
      <w:r>
        <w:rPr>
          <w:rFonts w:ascii="Times New Roman" w:hAnsi="Times New Roman" w:eastAsia="仿宋_GB2312"/>
          <w:sz w:val="32"/>
          <w:szCs w:val="32"/>
        </w:rPr>
        <w:t>%；汽车类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3.4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</w:t>
      </w:r>
      <w:r>
        <w:rPr>
          <w:rFonts w:ascii="Times New Roman" w:hAnsi="Times New Roman" w:eastAsia="仿宋_GB2312"/>
          <w:sz w:val="32"/>
          <w:szCs w:val="32"/>
          <w:lang w:val="zh-CN"/>
        </w:rPr>
        <w:t>内外资招商项目（企</w:t>
      </w:r>
      <w:r>
        <w:rPr>
          <w:rFonts w:ascii="Times New Roman" w:hAnsi="Times New Roman" w:eastAsia="仿宋_GB2312"/>
          <w:sz w:val="32"/>
          <w:szCs w:val="32"/>
          <w:highlight w:val="none"/>
          <w:lang w:val="zh-CN"/>
        </w:rPr>
        <w:t>业）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  <w:lang w:val="zh-CN"/>
        </w:rPr>
        <w:t>个，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实际利用外资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0.75</w:t>
      </w:r>
      <w:r>
        <w:rPr>
          <w:rFonts w:ascii="Times New Roman" w:hAnsi="Times New Roman" w:eastAsia="仿宋_GB2312"/>
          <w:sz w:val="32"/>
          <w:szCs w:val="32"/>
          <w:highlight w:val="none"/>
        </w:rPr>
        <w:t>亿美元，比上年增长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26.3</w:t>
      </w:r>
      <w:r>
        <w:rPr>
          <w:rFonts w:ascii="Times New Roman" w:hAnsi="Times New Roman" w:eastAsia="仿宋_GB2312"/>
          <w:sz w:val="32"/>
          <w:szCs w:val="32"/>
          <w:highlight w:val="none"/>
        </w:rPr>
        <w:t>%；实际到位省</w:t>
      </w:r>
      <w:r>
        <w:rPr>
          <w:rFonts w:ascii="Times New Roman" w:hAnsi="Times New Roman" w:eastAsia="仿宋_GB2312"/>
          <w:sz w:val="32"/>
          <w:szCs w:val="32"/>
        </w:rPr>
        <w:t>外境内资金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278.07</w:t>
      </w:r>
      <w:r>
        <w:rPr>
          <w:rFonts w:ascii="Times New Roman" w:hAnsi="Times New Roman" w:eastAsia="仿宋_GB2312"/>
          <w:sz w:val="32"/>
          <w:szCs w:val="32"/>
        </w:rPr>
        <w:t>亿元，增长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12.4 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六、教育和科学技术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全区拥有普通中学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所（含九年一贯制学校4所）、中等职业教育学校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所、普通小学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54</w:t>
      </w:r>
      <w:r>
        <w:rPr>
          <w:rFonts w:ascii="Times New Roman" w:hAnsi="Times New Roman" w:eastAsia="仿宋_GB2312"/>
          <w:sz w:val="32"/>
          <w:szCs w:val="32"/>
        </w:rPr>
        <w:t>所（含教学点1个）、幼儿园16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所。普通中学在校学生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37023</w:t>
      </w:r>
      <w:r>
        <w:rPr>
          <w:rFonts w:ascii="Times New Roman" w:hAnsi="Times New Roman" w:eastAsia="仿宋_GB2312"/>
          <w:sz w:val="32"/>
          <w:szCs w:val="32"/>
        </w:rPr>
        <w:t>人，教职工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3473</w:t>
      </w:r>
      <w:r>
        <w:rPr>
          <w:rFonts w:ascii="Times New Roman" w:hAnsi="Times New Roman" w:eastAsia="仿宋_GB2312"/>
          <w:sz w:val="32"/>
          <w:szCs w:val="32"/>
        </w:rPr>
        <w:t>人；中等职业教育学校在校学生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8603</w:t>
      </w:r>
      <w:r>
        <w:rPr>
          <w:rFonts w:ascii="Times New Roman" w:hAnsi="Times New Roman" w:eastAsia="仿宋_GB2312"/>
          <w:sz w:val="32"/>
          <w:szCs w:val="32"/>
        </w:rPr>
        <w:t>人，教职工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835</w:t>
      </w:r>
      <w:r>
        <w:rPr>
          <w:rFonts w:ascii="Times New Roman" w:hAnsi="Times New Roman" w:eastAsia="仿宋_GB2312"/>
          <w:sz w:val="32"/>
          <w:szCs w:val="32"/>
        </w:rPr>
        <w:t>人；普通小学在校学生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62384</w:t>
      </w:r>
      <w:r>
        <w:rPr>
          <w:rFonts w:ascii="Times New Roman" w:hAnsi="Times New Roman" w:eastAsia="仿宋_GB2312"/>
          <w:sz w:val="32"/>
          <w:szCs w:val="32"/>
        </w:rPr>
        <w:t>人，教职工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3005</w:t>
      </w:r>
      <w:r>
        <w:rPr>
          <w:rFonts w:ascii="Times New Roman" w:hAnsi="Times New Roman" w:eastAsia="仿宋_GB2312"/>
          <w:sz w:val="32"/>
          <w:szCs w:val="32"/>
        </w:rPr>
        <w:t>人；幼儿园入托儿童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32648</w:t>
      </w:r>
      <w:r>
        <w:rPr>
          <w:rFonts w:ascii="Times New Roman" w:hAnsi="Times New Roman" w:eastAsia="仿宋_GB2312"/>
          <w:sz w:val="32"/>
          <w:szCs w:val="32"/>
        </w:rPr>
        <w:t>人，幼师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5174</w:t>
      </w:r>
      <w:r>
        <w:rPr>
          <w:rFonts w:ascii="Times New Roman" w:hAnsi="Times New Roman" w:eastAsia="仿宋_GB2312"/>
          <w:sz w:val="32"/>
          <w:szCs w:val="32"/>
        </w:rPr>
        <w:t>人。全区小学生毕业合格率达100%，高考录取率达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87.9</w:t>
      </w:r>
      <w:r>
        <w:rPr>
          <w:rFonts w:ascii="Times New Roman" w:hAnsi="Times New Roman" w:eastAsia="仿宋_GB2312"/>
          <w:sz w:val="32"/>
          <w:szCs w:val="32"/>
        </w:rPr>
        <w:t>%。生均公用经费小学800元/生·年，初中1000元/生·年。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全年实现高新技术产业增加值比上年增长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12.7</w:t>
      </w:r>
      <w:r>
        <w:rPr>
          <w:rFonts w:ascii="Times New Roman" w:hAnsi="Times New Roman" w:eastAsia="仿宋_GB2312"/>
          <w:sz w:val="32"/>
          <w:szCs w:val="32"/>
        </w:rPr>
        <w:t>%。专利授权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3184</w:t>
      </w:r>
      <w:r>
        <w:rPr>
          <w:rFonts w:ascii="Times New Roman" w:hAnsi="Times New Roman" w:eastAsia="仿宋_GB2312"/>
          <w:sz w:val="32"/>
          <w:szCs w:val="32"/>
        </w:rPr>
        <w:t>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4.4</w:t>
      </w:r>
      <w:r>
        <w:rPr>
          <w:rFonts w:ascii="Times New Roman" w:hAnsi="Times New Roman" w:eastAsia="仿宋_GB2312"/>
          <w:sz w:val="32"/>
          <w:szCs w:val="32"/>
        </w:rPr>
        <w:t>%，其中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发明专利授权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1112</w:t>
      </w:r>
      <w:r>
        <w:rPr>
          <w:rFonts w:ascii="Times New Roman" w:hAnsi="Times New Roman" w:eastAsia="仿宋_GB2312"/>
          <w:sz w:val="32"/>
          <w:szCs w:val="32"/>
        </w:rPr>
        <w:t>件，增长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19.2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；有效发明专利拥有量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4314件，增长25.9%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七、文化、体育和卫生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全区共有非物质文化遗产项目资源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ascii="Times New Roman" w:hAnsi="Times New Roman" w:eastAsia="仿宋_GB2312"/>
          <w:sz w:val="32"/>
          <w:szCs w:val="32"/>
        </w:rPr>
        <w:t>个，非遗展示中心1个，文化馆1个，公共图书馆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</w:rPr>
        <w:t>个（其中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24小时自助图书馆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个），街道文化站14个，示范性街道综合文化站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97</w:t>
      </w:r>
      <w:r>
        <w:rPr>
          <w:rFonts w:ascii="Times New Roman" w:hAnsi="Times New Roman" w:eastAsia="仿宋_GB2312"/>
          <w:sz w:val="32"/>
          <w:szCs w:val="32"/>
        </w:rPr>
        <w:t>个，示范性社区（村）综合文化服务中心9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开展全民健身项目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812</w:t>
      </w:r>
      <w:r>
        <w:rPr>
          <w:rFonts w:ascii="Times New Roman" w:hAnsi="Times New Roman" w:eastAsia="仿宋_GB2312"/>
          <w:sz w:val="32"/>
          <w:szCs w:val="32"/>
        </w:rPr>
        <w:t>项次，全区全民健身运动参加人数达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72</w:t>
      </w:r>
      <w:r>
        <w:rPr>
          <w:rFonts w:ascii="Times New Roman" w:hAnsi="Times New Roman" w:eastAsia="仿宋_GB2312"/>
          <w:sz w:val="32"/>
          <w:szCs w:val="32"/>
        </w:rPr>
        <w:t>万人次。全年发展社会体育指导员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75</w:t>
      </w:r>
      <w:r>
        <w:rPr>
          <w:rFonts w:ascii="Times New Roman" w:hAnsi="Times New Roman" w:eastAsia="仿宋_GB2312"/>
          <w:sz w:val="32"/>
          <w:szCs w:val="32"/>
        </w:rPr>
        <w:t>人，年末拥有各级社会体育指导员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3750</w:t>
      </w:r>
      <w:r>
        <w:rPr>
          <w:rFonts w:ascii="Times New Roman" w:hAnsi="Times New Roman" w:eastAsia="仿宋_GB2312"/>
          <w:sz w:val="32"/>
          <w:szCs w:val="32"/>
        </w:rPr>
        <w:t>人，健身辅导站14个，公共体育场地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1547</w:t>
      </w:r>
      <w:r>
        <w:rPr>
          <w:rFonts w:ascii="Times New Roman" w:hAnsi="Times New Roman" w:eastAsia="仿宋_GB2312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全区拥有医疗卫生机构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520</w:t>
      </w:r>
      <w:r>
        <w:rPr>
          <w:rFonts w:ascii="Times New Roman" w:hAnsi="Times New Roman" w:eastAsia="仿宋_GB2312"/>
          <w:sz w:val="32"/>
          <w:szCs w:val="32"/>
        </w:rPr>
        <w:t>个，其中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疾控中心1个、妇幼保健所1个、社区卫生服务中心14个、社区卫生服务站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66</w:t>
      </w:r>
      <w:r>
        <w:rPr>
          <w:rFonts w:ascii="Times New Roman" w:hAnsi="Times New Roman" w:eastAsia="仿宋_GB2312"/>
          <w:sz w:val="32"/>
          <w:szCs w:val="32"/>
        </w:rPr>
        <w:t>个、驻区企事业单位医疗机构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/>
          <w:sz w:val="32"/>
          <w:szCs w:val="32"/>
        </w:rPr>
        <w:t>个。全年建立电子健康档案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746084</w:t>
      </w:r>
      <w:r>
        <w:rPr>
          <w:rFonts w:ascii="Times New Roman" w:hAnsi="Times New Roman" w:eastAsia="仿宋_GB2312"/>
          <w:sz w:val="32"/>
          <w:szCs w:val="32"/>
        </w:rPr>
        <w:t>份，建档率达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89.2</w:t>
      </w:r>
      <w:r>
        <w:rPr>
          <w:rFonts w:ascii="Times New Roman" w:hAnsi="Times New Roman" w:eastAsia="仿宋_GB2312"/>
          <w:sz w:val="32"/>
          <w:szCs w:val="32"/>
        </w:rPr>
        <w:t>%。管理65岁以上常住居民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46731</w:t>
      </w:r>
      <w:r>
        <w:rPr>
          <w:rFonts w:ascii="Times New Roman" w:hAnsi="Times New Roman" w:eastAsia="仿宋_GB2312"/>
          <w:sz w:val="32"/>
          <w:szCs w:val="32"/>
        </w:rPr>
        <w:t>人，高血压、糖尿病规范管理人数分别为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29067</w:t>
      </w:r>
      <w:r>
        <w:rPr>
          <w:rFonts w:ascii="Times New Roman" w:hAnsi="Times New Roman" w:eastAsia="仿宋_GB2312"/>
          <w:sz w:val="32"/>
          <w:szCs w:val="32"/>
        </w:rPr>
        <w:t>和11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164</w:t>
      </w:r>
      <w:r>
        <w:rPr>
          <w:rFonts w:ascii="Times New Roman" w:hAnsi="Times New Roman" w:eastAsia="仿宋_GB2312"/>
          <w:sz w:val="32"/>
          <w:szCs w:val="32"/>
        </w:rPr>
        <w:t>人，慢性病规范化管理率均达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63.0</w:t>
      </w:r>
      <w:r>
        <w:rPr>
          <w:rFonts w:ascii="Times New Roman" w:hAnsi="Times New Roman" w:eastAsia="仿宋_GB2312"/>
          <w:sz w:val="32"/>
          <w:szCs w:val="32"/>
        </w:rPr>
        <w:t>%以上。区级注册卫生技术人员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9100</w:t>
      </w:r>
      <w:r>
        <w:rPr>
          <w:rFonts w:ascii="Times New Roman" w:hAnsi="Times New Roman" w:eastAsia="仿宋_GB2312"/>
          <w:sz w:val="32"/>
          <w:szCs w:val="32"/>
        </w:rPr>
        <w:t>人，比上年增加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699</w:t>
      </w:r>
      <w:r>
        <w:rPr>
          <w:rFonts w:ascii="Times New Roman" w:hAnsi="Times New Roman" w:eastAsia="仿宋_GB2312"/>
          <w:sz w:val="32"/>
          <w:szCs w:val="32"/>
        </w:rPr>
        <w:t>人，其中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医生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3660</w:t>
      </w:r>
      <w:r>
        <w:rPr>
          <w:rFonts w:ascii="Times New Roman" w:hAnsi="Times New Roman" w:eastAsia="仿宋_GB2312"/>
          <w:sz w:val="32"/>
          <w:szCs w:val="32"/>
        </w:rPr>
        <w:t>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比上年增加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143</w:t>
      </w:r>
      <w:r>
        <w:rPr>
          <w:rFonts w:ascii="Times New Roman" w:hAnsi="Times New Roman" w:eastAsia="仿宋_GB2312"/>
          <w:sz w:val="32"/>
          <w:szCs w:val="32"/>
        </w:rPr>
        <w:t>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/>
          <w:sz w:val="32"/>
          <w:szCs w:val="32"/>
        </w:rPr>
        <w:t>护师护士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5440</w:t>
      </w:r>
      <w:r>
        <w:rPr>
          <w:rFonts w:ascii="Times New Roman" w:hAnsi="Times New Roman" w:eastAsia="仿宋_GB2312"/>
          <w:sz w:val="32"/>
          <w:szCs w:val="32"/>
        </w:rPr>
        <w:t>人，比上年增加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556</w:t>
      </w:r>
      <w:r>
        <w:rPr>
          <w:rFonts w:ascii="Times New Roman" w:hAnsi="Times New Roman" w:eastAsia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八、环境保护和安全生产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</w:t>
      </w:r>
      <w:r>
        <w:rPr>
          <w:rFonts w:ascii="Times New Roman" w:hAnsi="Times New Roman" w:eastAsia="仿宋_GB2312"/>
          <w:kern w:val="0"/>
          <w:sz w:val="32"/>
          <w:szCs w:val="32"/>
        </w:rPr>
        <w:t>环保共审批建设项目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kern w:val="0"/>
          <w:sz w:val="32"/>
          <w:szCs w:val="32"/>
        </w:rPr>
        <w:t>件</w:t>
      </w:r>
      <w:r>
        <w:rPr>
          <w:rFonts w:ascii="Times New Roman" w:hAnsi="Times New Roman" w:eastAsia="仿宋_GB2312"/>
          <w:sz w:val="32"/>
          <w:szCs w:val="32"/>
        </w:rPr>
        <w:t>。全年空气质量优良率达到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84.9</w:t>
      </w:r>
      <w:r>
        <w:rPr>
          <w:rFonts w:ascii="Times New Roman" w:hAnsi="Times New Roman" w:eastAsia="仿宋_GB2312"/>
          <w:sz w:val="32"/>
          <w:szCs w:val="32"/>
        </w:rPr>
        <w:t>%，优良天数为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310</w:t>
      </w:r>
      <w:r>
        <w:rPr>
          <w:rFonts w:ascii="Times New Roman" w:hAnsi="Times New Roman" w:eastAsia="仿宋_GB2312"/>
          <w:sz w:val="32"/>
          <w:szCs w:val="32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</w:rPr>
        <w:t>全年各类生产安全事故死亡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人，其中，生产经营性道路交通事故死亡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人；铁路运输事故死亡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人；工矿商贸企业从业人员死亡0人；建筑施工行业死亡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人。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亿元GDP各类安全事故死亡人数0.00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1647825</wp:posOffset>
            </wp:positionV>
            <wp:extent cx="4889500" cy="2741295"/>
            <wp:effectExtent l="4445" t="4445" r="20955" b="16510"/>
            <wp:wrapTopAndBottom/>
            <wp:docPr id="1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全区年末人口总户数为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20.71</w:t>
      </w:r>
      <w:r>
        <w:rPr>
          <w:rFonts w:ascii="Times New Roman" w:hAnsi="Times New Roman" w:eastAsia="仿宋_GB2312"/>
          <w:sz w:val="32"/>
          <w:szCs w:val="32"/>
          <w:highlight w:val="none"/>
        </w:rPr>
        <w:t>万</w:t>
      </w:r>
      <w:r>
        <w:rPr>
          <w:rFonts w:ascii="Times New Roman" w:hAnsi="Times New Roman" w:eastAsia="仿宋_GB2312"/>
          <w:sz w:val="32"/>
          <w:szCs w:val="32"/>
        </w:rPr>
        <w:t>户，户政人口数为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53.81</w:t>
      </w:r>
      <w:r>
        <w:rPr>
          <w:rFonts w:ascii="Times New Roman" w:hAnsi="Times New Roman" w:eastAsia="仿宋_GB2312"/>
          <w:sz w:val="32"/>
          <w:szCs w:val="32"/>
        </w:rPr>
        <w:t>万人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，常住人口数为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87.17</w:t>
      </w:r>
      <w:r>
        <w:rPr>
          <w:rFonts w:ascii="Times New Roman" w:hAnsi="Times New Roman" w:eastAsia="仿宋_GB2312"/>
          <w:sz w:val="32"/>
          <w:szCs w:val="32"/>
          <w:highlight w:val="none"/>
        </w:rPr>
        <w:t>万，出生</w:t>
      </w:r>
      <w:r>
        <w:rPr>
          <w:rFonts w:ascii="Times New Roman" w:hAnsi="Times New Roman" w:eastAsia="仿宋_GB2312"/>
          <w:sz w:val="32"/>
          <w:szCs w:val="32"/>
        </w:rPr>
        <w:t>率为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6.28</w:t>
      </w:r>
      <w:r>
        <w:rPr>
          <w:rFonts w:ascii="Times New Roman" w:hAnsi="Times New Roman" w:eastAsia="仿宋_GB2312"/>
          <w:sz w:val="32"/>
          <w:szCs w:val="32"/>
        </w:rPr>
        <w:t>‰，死亡率为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7.43</w:t>
      </w:r>
      <w:r>
        <w:rPr>
          <w:rFonts w:ascii="Times New Roman" w:hAnsi="Times New Roman" w:eastAsia="仿宋_GB2312"/>
          <w:sz w:val="32"/>
          <w:szCs w:val="32"/>
        </w:rPr>
        <w:t>‰，人口自然</w:t>
      </w:r>
      <w:r>
        <w:rPr>
          <w:rFonts w:ascii="Times New Roman" w:hAnsi="Times New Roman" w:eastAsia="仿宋_GB2312"/>
          <w:sz w:val="32"/>
          <w:szCs w:val="32"/>
          <w:highlight w:val="none"/>
        </w:rPr>
        <w:t>增长率为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-1.15</w:t>
      </w:r>
      <w:r>
        <w:rPr>
          <w:rFonts w:ascii="Times New Roman" w:hAnsi="Times New Roman" w:eastAsia="仿宋_GB2312"/>
          <w:sz w:val="32"/>
          <w:szCs w:val="32"/>
          <w:highlight w:val="none"/>
        </w:rPr>
        <w:t>‰，常住人口城镇化率为99.1%。</w:t>
      </w:r>
      <w:r>
        <w:rPr>
          <w:rFonts w:ascii="Times New Roman" w:hAnsi="Times New Roman" w:eastAsia="仿宋_GB2312"/>
          <w:sz w:val="32"/>
          <w:szCs w:val="32"/>
        </w:rPr>
        <w:t>城镇居民人均可支配收入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69985</w:t>
      </w:r>
      <w:r>
        <w:rPr>
          <w:rFonts w:ascii="Times New Roman" w:hAnsi="Times New Roman" w:eastAsia="仿宋_GB2312"/>
          <w:sz w:val="32"/>
          <w:szCs w:val="32"/>
        </w:rPr>
        <w:t>元，比上年增长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4.9 </w:t>
      </w:r>
      <w:r>
        <w:rPr>
          <w:rFonts w:ascii="Times New Roman" w:hAnsi="Times New Roman" w:eastAsia="仿宋_GB2312"/>
          <w:sz w:val="32"/>
          <w:szCs w:val="32"/>
        </w:rPr>
        <w:t>%，高于全市平均水平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4795</w:t>
      </w:r>
      <w:r>
        <w:rPr>
          <w:rFonts w:ascii="Times New Roman" w:hAnsi="Times New Roman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全区城市低保对象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24524</w:t>
      </w:r>
      <w:r>
        <w:rPr>
          <w:rFonts w:ascii="Times New Roman" w:hAnsi="Times New Roman" w:eastAsia="仿宋_GB2312"/>
          <w:sz w:val="32"/>
          <w:szCs w:val="32"/>
        </w:rPr>
        <w:t>户次、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34144</w:t>
      </w:r>
      <w:r>
        <w:rPr>
          <w:rFonts w:ascii="Times New Roman" w:hAnsi="Times New Roman" w:eastAsia="仿宋_GB2312"/>
          <w:sz w:val="32"/>
          <w:szCs w:val="32"/>
        </w:rPr>
        <w:t>人次，累计发放低保金、物价补贴、过节费等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2168.01</w:t>
      </w:r>
      <w:r>
        <w:rPr>
          <w:rFonts w:ascii="Times New Roman" w:hAnsi="Times New Roman" w:eastAsia="仿宋_GB2312"/>
          <w:sz w:val="32"/>
          <w:szCs w:val="32"/>
        </w:rPr>
        <w:t>万元；农村低保对象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4255</w:t>
      </w:r>
      <w:r>
        <w:rPr>
          <w:rFonts w:ascii="Times New Roman" w:hAnsi="Times New Roman" w:eastAsia="仿宋_GB2312"/>
          <w:sz w:val="32"/>
          <w:szCs w:val="32"/>
        </w:rPr>
        <w:t>户次、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7310</w:t>
      </w:r>
      <w:r>
        <w:rPr>
          <w:rFonts w:ascii="Times New Roman" w:hAnsi="Times New Roman" w:eastAsia="仿宋_GB2312"/>
          <w:sz w:val="32"/>
          <w:szCs w:val="32"/>
        </w:rPr>
        <w:t>人次，累计发放低保金、物价补贴、过节费等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440.15</w:t>
      </w:r>
      <w:r>
        <w:rPr>
          <w:rFonts w:ascii="Times New Roman" w:hAnsi="Times New Roman" w:eastAsia="仿宋_GB2312"/>
          <w:sz w:val="32"/>
          <w:szCs w:val="32"/>
        </w:rPr>
        <w:t>万元；申请廉租房及廉租房补贴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228</w:t>
      </w:r>
      <w:r>
        <w:rPr>
          <w:rFonts w:ascii="Times New Roman" w:hAnsi="Times New Roman" w:eastAsia="仿宋_GB2312"/>
          <w:sz w:val="32"/>
          <w:szCs w:val="32"/>
        </w:rPr>
        <w:t>户。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全年共发放城乡困难居民医疗救助金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239.80</w:t>
      </w:r>
      <w:r>
        <w:rPr>
          <w:rFonts w:ascii="Times New Roman" w:hAnsi="Times New Roman" w:eastAsia="仿宋_GB2312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858</w:t>
      </w:r>
      <w:r>
        <w:rPr>
          <w:rFonts w:ascii="Times New Roman" w:hAnsi="Times New Roman" w:eastAsia="仿宋_GB2312"/>
          <w:sz w:val="32"/>
          <w:szCs w:val="32"/>
          <w:highlight w:val="none"/>
        </w:rPr>
        <w:t>人次；特困</w:t>
      </w:r>
      <w:r>
        <w:rPr>
          <w:rFonts w:ascii="Times New Roman" w:hAnsi="Times New Roman" w:eastAsia="仿宋_GB2312"/>
          <w:sz w:val="32"/>
          <w:szCs w:val="32"/>
        </w:rPr>
        <w:t>供养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3586</w:t>
      </w:r>
      <w:r>
        <w:rPr>
          <w:rFonts w:ascii="Times New Roman" w:hAnsi="Times New Roman" w:eastAsia="仿宋_GB2312"/>
          <w:sz w:val="32"/>
          <w:szCs w:val="32"/>
        </w:rPr>
        <w:t>户次、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3659</w:t>
      </w:r>
      <w:r>
        <w:rPr>
          <w:rFonts w:ascii="Times New Roman" w:hAnsi="Times New Roman" w:eastAsia="仿宋_GB2312"/>
          <w:sz w:val="32"/>
          <w:szCs w:val="32"/>
        </w:rPr>
        <w:t>人次，供养资金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371.86</w:t>
      </w:r>
      <w:r>
        <w:rPr>
          <w:rFonts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  <w:highlight w:val="none"/>
        </w:rPr>
        <w:t>；发放优抚金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2364.50</w:t>
      </w:r>
      <w:r>
        <w:rPr>
          <w:rFonts w:ascii="Times New Roman" w:hAnsi="Times New Roman" w:eastAsia="仿宋_GB2312"/>
          <w:sz w:val="32"/>
          <w:szCs w:val="32"/>
          <w:highlight w:val="none"/>
        </w:rPr>
        <w:t>万元，接待各类退役军人来信来访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1341</w:t>
      </w:r>
      <w:r>
        <w:rPr>
          <w:rFonts w:ascii="Times New Roman" w:hAnsi="Times New Roman" w:eastAsia="仿宋_GB2312"/>
          <w:sz w:val="32"/>
          <w:szCs w:val="32"/>
          <w:highlight w:val="none"/>
        </w:rPr>
        <w:t>人次；新</w:t>
      </w:r>
      <w:r>
        <w:rPr>
          <w:rFonts w:ascii="Times New Roman" w:hAnsi="Times New Roman" w:eastAsia="仿宋_GB2312"/>
          <w:sz w:val="32"/>
          <w:szCs w:val="32"/>
        </w:rPr>
        <w:t>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/>
          <w:sz w:val="32"/>
          <w:szCs w:val="32"/>
        </w:rPr>
        <w:t>个居家养老服务中心。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注：1、本公报部分数据为初步统计数，部分数据因四舍五入的原因，存在与分项合计不等的情况。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地区生产总值（GDP）、各产业增加值绝对数按现价计算，增长速度按可比价计算。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根据第四次全国经济普查结果，对地区生产总值、三次产业及相关行业增加值、社会消费品零售总额等相关指标的历史数据进行了修订。</w:t>
      </w:r>
    </w:p>
    <w:sectPr>
      <w:headerReference r:id="rId3" w:type="default"/>
      <w:footerReference r:id="rId4" w:type="default"/>
      <w:pgSz w:w="11906" w:h="16838"/>
      <w:pgMar w:top="2155" w:right="1474" w:bottom="1701" w:left="1588" w:header="851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Pv/oyAgAAYwQAAA4AAABkcnMvZTJvRG9jLnhtbK1UzY7TMBC+I/EO&#10;lu80aWFX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reRHla62eIerCIC91b02FohnuPy8i6q5yKv+BD4Ie4x4u4oguEx0fTyXSaw8XhGw7Azx6f&#10;W+fDO2EUiUZBHbqXRGWHjQ996BASs2mzbqRMHZSatAW9fn2V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7Q+/+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both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yvpdEyAgAAY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K+l0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  <w:rPr>
        <w:rFonts w:hint="default"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E9A28"/>
    <w:multiLevelType w:val="singleLevel"/>
    <w:tmpl w:val="EC8E9A28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82AF5C"/>
    <w:multiLevelType w:val="singleLevel"/>
    <w:tmpl w:val="F282AF5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OGM5OTZkNWQyMTE0YjBlNDE2ODFiYmM5ZGNmYjAifQ=="/>
  </w:docVars>
  <w:rsids>
    <w:rsidRoot w:val="71D67698"/>
    <w:rsid w:val="000C6556"/>
    <w:rsid w:val="000E7DB6"/>
    <w:rsid w:val="001E0196"/>
    <w:rsid w:val="00215433"/>
    <w:rsid w:val="00263952"/>
    <w:rsid w:val="003A4258"/>
    <w:rsid w:val="0067359D"/>
    <w:rsid w:val="007300F9"/>
    <w:rsid w:val="00850BF0"/>
    <w:rsid w:val="00945855"/>
    <w:rsid w:val="00A5679E"/>
    <w:rsid w:val="00A761CE"/>
    <w:rsid w:val="00B773C2"/>
    <w:rsid w:val="00B91524"/>
    <w:rsid w:val="00C90F82"/>
    <w:rsid w:val="00CB5616"/>
    <w:rsid w:val="00D56EB0"/>
    <w:rsid w:val="00DF43B3"/>
    <w:rsid w:val="00FB1B62"/>
    <w:rsid w:val="010F1222"/>
    <w:rsid w:val="01575B09"/>
    <w:rsid w:val="0163376E"/>
    <w:rsid w:val="01B97F5E"/>
    <w:rsid w:val="01F112EC"/>
    <w:rsid w:val="02005D26"/>
    <w:rsid w:val="02517A88"/>
    <w:rsid w:val="025760E2"/>
    <w:rsid w:val="02BE1823"/>
    <w:rsid w:val="02F6401B"/>
    <w:rsid w:val="032D29B2"/>
    <w:rsid w:val="038C10A2"/>
    <w:rsid w:val="039B748A"/>
    <w:rsid w:val="03DE70F0"/>
    <w:rsid w:val="04884E65"/>
    <w:rsid w:val="05690402"/>
    <w:rsid w:val="05757BFA"/>
    <w:rsid w:val="05932753"/>
    <w:rsid w:val="061877B0"/>
    <w:rsid w:val="0619466C"/>
    <w:rsid w:val="065213F9"/>
    <w:rsid w:val="065507DE"/>
    <w:rsid w:val="06A25524"/>
    <w:rsid w:val="06F76D19"/>
    <w:rsid w:val="073D2943"/>
    <w:rsid w:val="07A66F04"/>
    <w:rsid w:val="080B06F5"/>
    <w:rsid w:val="0866616D"/>
    <w:rsid w:val="089D151D"/>
    <w:rsid w:val="09872BB7"/>
    <w:rsid w:val="09B65BDA"/>
    <w:rsid w:val="0A6E6997"/>
    <w:rsid w:val="0A9E71C5"/>
    <w:rsid w:val="0AC91B63"/>
    <w:rsid w:val="0AD12D30"/>
    <w:rsid w:val="0B5F3925"/>
    <w:rsid w:val="0BAC22C1"/>
    <w:rsid w:val="0BF741CD"/>
    <w:rsid w:val="0C1F3EBA"/>
    <w:rsid w:val="0D084F70"/>
    <w:rsid w:val="0D171F56"/>
    <w:rsid w:val="0DE761DE"/>
    <w:rsid w:val="0E35096D"/>
    <w:rsid w:val="0E9A7833"/>
    <w:rsid w:val="0F381A87"/>
    <w:rsid w:val="10D04F8B"/>
    <w:rsid w:val="10D56A1E"/>
    <w:rsid w:val="11E9129A"/>
    <w:rsid w:val="11EC269A"/>
    <w:rsid w:val="11F00E84"/>
    <w:rsid w:val="121B2FC8"/>
    <w:rsid w:val="1261066D"/>
    <w:rsid w:val="133D261E"/>
    <w:rsid w:val="135D7C40"/>
    <w:rsid w:val="144B0883"/>
    <w:rsid w:val="1619109F"/>
    <w:rsid w:val="169C177F"/>
    <w:rsid w:val="16AA4527"/>
    <w:rsid w:val="174317EC"/>
    <w:rsid w:val="174E561C"/>
    <w:rsid w:val="176253DF"/>
    <w:rsid w:val="17F0488E"/>
    <w:rsid w:val="18C22B85"/>
    <w:rsid w:val="1964766A"/>
    <w:rsid w:val="19746FDB"/>
    <w:rsid w:val="19831126"/>
    <w:rsid w:val="19FB75D2"/>
    <w:rsid w:val="1A1B2D69"/>
    <w:rsid w:val="1A25665E"/>
    <w:rsid w:val="1A892D58"/>
    <w:rsid w:val="1AB35071"/>
    <w:rsid w:val="1AF01D0B"/>
    <w:rsid w:val="1AF9752E"/>
    <w:rsid w:val="1B04220A"/>
    <w:rsid w:val="1B054869"/>
    <w:rsid w:val="1C7421A6"/>
    <w:rsid w:val="1D2C2D8B"/>
    <w:rsid w:val="1DF823EC"/>
    <w:rsid w:val="1E695134"/>
    <w:rsid w:val="1FE81167"/>
    <w:rsid w:val="20003BA2"/>
    <w:rsid w:val="20591AF8"/>
    <w:rsid w:val="214954DC"/>
    <w:rsid w:val="216328FB"/>
    <w:rsid w:val="21810D03"/>
    <w:rsid w:val="21AE6620"/>
    <w:rsid w:val="21B41AEB"/>
    <w:rsid w:val="21BC6A35"/>
    <w:rsid w:val="21CE5F63"/>
    <w:rsid w:val="21E1277B"/>
    <w:rsid w:val="22DC7CF8"/>
    <w:rsid w:val="24505A76"/>
    <w:rsid w:val="24716F7D"/>
    <w:rsid w:val="24BD0B6E"/>
    <w:rsid w:val="25B44016"/>
    <w:rsid w:val="26D54D5F"/>
    <w:rsid w:val="27433CA3"/>
    <w:rsid w:val="275059D1"/>
    <w:rsid w:val="2780301D"/>
    <w:rsid w:val="28C36E49"/>
    <w:rsid w:val="28CD5A9B"/>
    <w:rsid w:val="291312D9"/>
    <w:rsid w:val="2935710B"/>
    <w:rsid w:val="29E52691"/>
    <w:rsid w:val="2A205099"/>
    <w:rsid w:val="2A3636FF"/>
    <w:rsid w:val="2AF32933"/>
    <w:rsid w:val="2B03015B"/>
    <w:rsid w:val="2C445EE7"/>
    <w:rsid w:val="2CD07EF0"/>
    <w:rsid w:val="2D214354"/>
    <w:rsid w:val="2D224545"/>
    <w:rsid w:val="2D7A1DA7"/>
    <w:rsid w:val="2DC2447B"/>
    <w:rsid w:val="2DCE2E91"/>
    <w:rsid w:val="2DEB2867"/>
    <w:rsid w:val="2DED1985"/>
    <w:rsid w:val="2FA14E8E"/>
    <w:rsid w:val="2FC5791D"/>
    <w:rsid w:val="303A568F"/>
    <w:rsid w:val="305606E4"/>
    <w:rsid w:val="30BB0F5A"/>
    <w:rsid w:val="30FA1726"/>
    <w:rsid w:val="31B02CBE"/>
    <w:rsid w:val="32010670"/>
    <w:rsid w:val="32125C6A"/>
    <w:rsid w:val="322A5212"/>
    <w:rsid w:val="329F6057"/>
    <w:rsid w:val="337D22F5"/>
    <w:rsid w:val="341C2838"/>
    <w:rsid w:val="346F6770"/>
    <w:rsid w:val="34922019"/>
    <w:rsid w:val="358020FD"/>
    <w:rsid w:val="35CB6D60"/>
    <w:rsid w:val="361231BE"/>
    <w:rsid w:val="36C638F0"/>
    <w:rsid w:val="36DC7FDC"/>
    <w:rsid w:val="374F1604"/>
    <w:rsid w:val="37A26510"/>
    <w:rsid w:val="37EE4455"/>
    <w:rsid w:val="382C2DA0"/>
    <w:rsid w:val="38915E68"/>
    <w:rsid w:val="3A4979CD"/>
    <w:rsid w:val="3A6C0A30"/>
    <w:rsid w:val="3B6B584A"/>
    <w:rsid w:val="3B993E3B"/>
    <w:rsid w:val="3BD06132"/>
    <w:rsid w:val="3C4C459E"/>
    <w:rsid w:val="3C5B6360"/>
    <w:rsid w:val="3C9560EB"/>
    <w:rsid w:val="3CBF746B"/>
    <w:rsid w:val="3CCF74B7"/>
    <w:rsid w:val="3D1837B0"/>
    <w:rsid w:val="3D31224B"/>
    <w:rsid w:val="3D74772E"/>
    <w:rsid w:val="3E06000C"/>
    <w:rsid w:val="3E0B533B"/>
    <w:rsid w:val="3EB852FF"/>
    <w:rsid w:val="3F575112"/>
    <w:rsid w:val="3FAB70E9"/>
    <w:rsid w:val="40080F29"/>
    <w:rsid w:val="417017C2"/>
    <w:rsid w:val="420278CC"/>
    <w:rsid w:val="42994713"/>
    <w:rsid w:val="42F35148"/>
    <w:rsid w:val="4358513D"/>
    <w:rsid w:val="436D76A3"/>
    <w:rsid w:val="438355EC"/>
    <w:rsid w:val="438F1E7C"/>
    <w:rsid w:val="43BD159A"/>
    <w:rsid w:val="441E3876"/>
    <w:rsid w:val="44BB4591"/>
    <w:rsid w:val="44E401E1"/>
    <w:rsid w:val="457350F4"/>
    <w:rsid w:val="45F57997"/>
    <w:rsid w:val="465F281A"/>
    <w:rsid w:val="467E3028"/>
    <w:rsid w:val="47105672"/>
    <w:rsid w:val="472E5789"/>
    <w:rsid w:val="48675192"/>
    <w:rsid w:val="48763A80"/>
    <w:rsid w:val="490F7A4B"/>
    <w:rsid w:val="4999596D"/>
    <w:rsid w:val="49A050D0"/>
    <w:rsid w:val="49D7442A"/>
    <w:rsid w:val="4AE323C9"/>
    <w:rsid w:val="4B5F3891"/>
    <w:rsid w:val="4B8F660E"/>
    <w:rsid w:val="4D607872"/>
    <w:rsid w:val="4E461FE4"/>
    <w:rsid w:val="4ECF73A2"/>
    <w:rsid w:val="4F5048EB"/>
    <w:rsid w:val="4FA82667"/>
    <w:rsid w:val="4FFF7EC3"/>
    <w:rsid w:val="501F083A"/>
    <w:rsid w:val="505C5865"/>
    <w:rsid w:val="50A918B6"/>
    <w:rsid w:val="51DB2B0C"/>
    <w:rsid w:val="51F1213E"/>
    <w:rsid w:val="52CC40E9"/>
    <w:rsid w:val="52E32048"/>
    <w:rsid w:val="5300755A"/>
    <w:rsid w:val="53A74DCF"/>
    <w:rsid w:val="54AD4386"/>
    <w:rsid w:val="55474A46"/>
    <w:rsid w:val="5556329D"/>
    <w:rsid w:val="55C00534"/>
    <w:rsid w:val="55E27C3A"/>
    <w:rsid w:val="55F914E0"/>
    <w:rsid w:val="5606155B"/>
    <w:rsid w:val="56CC39CB"/>
    <w:rsid w:val="56D77668"/>
    <w:rsid w:val="572B1106"/>
    <w:rsid w:val="57495262"/>
    <w:rsid w:val="57560A85"/>
    <w:rsid w:val="57BC1E92"/>
    <w:rsid w:val="57ED208B"/>
    <w:rsid w:val="57F9123B"/>
    <w:rsid w:val="5893300E"/>
    <w:rsid w:val="58F90C2A"/>
    <w:rsid w:val="5964367F"/>
    <w:rsid w:val="59E51FD5"/>
    <w:rsid w:val="5A0257A4"/>
    <w:rsid w:val="5A1605FE"/>
    <w:rsid w:val="5AC056CA"/>
    <w:rsid w:val="5AF03EDE"/>
    <w:rsid w:val="5AFF5353"/>
    <w:rsid w:val="5B5B63D4"/>
    <w:rsid w:val="5B9866EE"/>
    <w:rsid w:val="5C9B365E"/>
    <w:rsid w:val="5CA01106"/>
    <w:rsid w:val="5D8504CC"/>
    <w:rsid w:val="5D916A0F"/>
    <w:rsid w:val="5E1745A6"/>
    <w:rsid w:val="5E2450C9"/>
    <w:rsid w:val="5F394BBA"/>
    <w:rsid w:val="5FAD5E4B"/>
    <w:rsid w:val="600F5EAD"/>
    <w:rsid w:val="60473D86"/>
    <w:rsid w:val="606B5AFC"/>
    <w:rsid w:val="6077540C"/>
    <w:rsid w:val="60A10EC9"/>
    <w:rsid w:val="60E76325"/>
    <w:rsid w:val="60EB73A8"/>
    <w:rsid w:val="611279BD"/>
    <w:rsid w:val="61464510"/>
    <w:rsid w:val="61524B78"/>
    <w:rsid w:val="61A36BE9"/>
    <w:rsid w:val="63296CC1"/>
    <w:rsid w:val="634C2E4B"/>
    <w:rsid w:val="63EF2D23"/>
    <w:rsid w:val="64070098"/>
    <w:rsid w:val="646F4B99"/>
    <w:rsid w:val="64F40F47"/>
    <w:rsid w:val="654D44EF"/>
    <w:rsid w:val="657617E2"/>
    <w:rsid w:val="65AD4CE1"/>
    <w:rsid w:val="661F1970"/>
    <w:rsid w:val="668A5F10"/>
    <w:rsid w:val="66B41EA6"/>
    <w:rsid w:val="66DD6D2B"/>
    <w:rsid w:val="670E1EBE"/>
    <w:rsid w:val="67100B37"/>
    <w:rsid w:val="6756609D"/>
    <w:rsid w:val="69181CFF"/>
    <w:rsid w:val="698075D9"/>
    <w:rsid w:val="69A741E2"/>
    <w:rsid w:val="69D9113A"/>
    <w:rsid w:val="6A5866BC"/>
    <w:rsid w:val="6A90067D"/>
    <w:rsid w:val="6A945BDC"/>
    <w:rsid w:val="6AD46227"/>
    <w:rsid w:val="6B3A495E"/>
    <w:rsid w:val="6B9B54E2"/>
    <w:rsid w:val="6BA56202"/>
    <w:rsid w:val="6BEB058F"/>
    <w:rsid w:val="6C741E22"/>
    <w:rsid w:val="6D2773EB"/>
    <w:rsid w:val="6D7221B9"/>
    <w:rsid w:val="6DD13686"/>
    <w:rsid w:val="6DE66A63"/>
    <w:rsid w:val="6E003683"/>
    <w:rsid w:val="6E91666F"/>
    <w:rsid w:val="6ED4198D"/>
    <w:rsid w:val="6F8B57C7"/>
    <w:rsid w:val="6FA05BB0"/>
    <w:rsid w:val="6FE309B9"/>
    <w:rsid w:val="6FF73091"/>
    <w:rsid w:val="70596CEC"/>
    <w:rsid w:val="70682A86"/>
    <w:rsid w:val="71555BA1"/>
    <w:rsid w:val="717F288A"/>
    <w:rsid w:val="71D67698"/>
    <w:rsid w:val="72F825DD"/>
    <w:rsid w:val="74261711"/>
    <w:rsid w:val="74877910"/>
    <w:rsid w:val="750F0679"/>
    <w:rsid w:val="750F651D"/>
    <w:rsid w:val="75812C33"/>
    <w:rsid w:val="76985D7D"/>
    <w:rsid w:val="76A4390D"/>
    <w:rsid w:val="770025E3"/>
    <w:rsid w:val="771574F3"/>
    <w:rsid w:val="77657031"/>
    <w:rsid w:val="7773512C"/>
    <w:rsid w:val="77BD5438"/>
    <w:rsid w:val="77CC5050"/>
    <w:rsid w:val="77FC3435"/>
    <w:rsid w:val="78F804F1"/>
    <w:rsid w:val="791E258B"/>
    <w:rsid w:val="791E2B36"/>
    <w:rsid w:val="793C523B"/>
    <w:rsid w:val="794F1B77"/>
    <w:rsid w:val="799F0BDB"/>
    <w:rsid w:val="7A125777"/>
    <w:rsid w:val="7A53739D"/>
    <w:rsid w:val="7A726AE2"/>
    <w:rsid w:val="7A7E54B0"/>
    <w:rsid w:val="7BAC74A9"/>
    <w:rsid w:val="7BAD1991"/>
    <w:rsid w:val="7BC92BAD"/>
    <w:rsid w:val="7BCE1478"/>
    <w:rsid w:val="7C761895"/>
    <w:rsid w:val="7C8A1F80"/>
    <w:rsid w:val="7C8D4325"/>
    <w:rsid w:val="7D376980"/>
    <w:rsid w:val="7D6F3265"/>
    <w:rsid w:val="7DB31B9D"/>
    <w:rsid w:val="7E2A12A1"/>
    <w:rsid w:val="7E9E63D2"/>
    <w:rsid w:val="7F1C5AC4"/>
    <w:rsid w:val="7FA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b/>
      <w:bCs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ca-6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chart" Target="charts/chart9.xml"/><Relationship Id="rId13" Type="http://schemas.openxmlformats.org/officeDocument/2006/relationships/chart" Target="charts/chart8.xml"/><Relationship Id="rId12" Type="http://schemas.openxmlformats.org/officeDocument/2006/relationships/chart" Target="charts/chart7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H:\&#24037;&#20316;&#36164;&#26009;\2022&#24180;&#32479;&#35745;&#20135;&#21697;\2022&#24180;&#32479;&#35745;&#20135;&#21697;&#30340;&#25968;&#25454;&#25910;&#38598;\2022&#24180;&#32479;&#35745;&#20844;&#25253;&#20316;&#22270;.xlsx" TargetMode="External"/></Relationships>
</file>

<file path=word/charts/_rels/chart2.xml.rels><?xml version="1.0" encoding="UTF-8" standalone="yes"?>
<Relationships xmlns="http://schemas.openxmlformats.org/package/2006/relationships"><Relationship Id="rId4" Type="http://schemas.microsoft.com/office/2011/relationships/chartColorStyle" Target="colors2.xml"/><Relationship Id="rId3" Type="http://schemas.microsoft.com/office/2011/relationships/chartStyle" Target="style2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H:\&#24037;&#20316;&#36164;&#26009;\2022&#24180;&#32479;&#35745;&#20135;&#21697;\2022&#24180;&#32479;&#35745;&#20135;&#21697;&#30340;&#25968;&#25454;&#25910;&#38598;\2022&#24180;&#32479;&#35745;&#20844;&#25253;&#20316;&#22270;.xlsx" TargetMode="External"/></Relationships>
</file>

<file path=word/charts/_rels/chart3.xml.rels><?xml version="1.0" encoding="UTF-8" standalone="yes"?>
<Relationships xmlns="http://schemas.openxmlformats.org/package/2006/relationships"><Relationship Id="rId4" Type="http://schemas.microsoft.com/office/2011/relationships/chartColorStyle" Target="colors3.xml"/><Relationship Id="rId3" Type="http://schemas.microsoft.com/office/2011/relationships/chartStyle" Target="style3.xml"/><Relationship Id="rId2" Type="http://schemas.openxmlformats.org/officeDocument/2006/relationships/chartUserShapes" Target="../drawings/drawing3.xml"/><Relationship Id="rId1" Type="http://schemas.openxmlformats.org/officeDocument/2006/relationships/oleObject" Target="file:///H:\&#24037;&#20316;&#36164;&#26009;\2022&#24180;&#32479;&#35745;&#20135;&#21697;\2022&#24180;&#32479;&#35745;&#20135;&#21697;&#30340;&#25968;&#25454;&#25910;&#38598;\2022&#24180;&#32479;&#35745;&#20844;&#25253;&#20316;&#22270;.xlsx" TargetMode="External"/></Relationships>
</file>

<file path=word/charts/_rels/chart4.xml.rels><?xml version="1.0" encoding="UTF-8" standalone="yes"?>
<Relationships xmlns="http://schemas.openxmlformats.org/package/2006/relationships"><Relationship Id="rId4" Type="http://schemas.microsoft.com/office/2011/relationships/chartColorStyle" Target="colors4.xml"/><Relationship Id="rId3" Type="http://schemas.microsoft.com/office/2011/relationships/chartStyle" Target="style4.xml"/><Relationship Id="rId2" Type="http://schemas.openxmlformats.org/officeDocument/2006/relationships/chartUserShapes" Target="../drawings/drawing4.xml"/><Relationship Id="rId1" Type="http://schemas.openxmlformats.org/officeDocument/2006/relationships/oleObject" Target="file:///H:\&#24037;&#20316;&#36164;&#26009;\2022&#24180;&#32479;&#35745;&#20135;&#21697;\2022&#24180;&#32479;&#35745;&#20135;&#21697;&#30340;&#25968;&#25454;&#25910;&#38598;\2022&#24180;&#32479;&#35745;&#20844;&#25253;&#20316;&#22270;.xlsx" TargetMode="External"/></Relationships>
</file>

<file path=word/charts/_rels/chart5.xml.rels><?xml version="1.0" encoding="UTF-8" standalone="yes"?>
<Relationships xmlns="http://schemas.openxmlformats.org/package/2006/relationships"><Relationship Id="rId4" Type="http://schemas.microsoft.com/office/2011/relationships/chartColorStyle" Target="colors5.xml"/><Relationship Id="rId3" Type="http://schemas.microsoft.com/office/2011/relationships/chartStyle" Target="style5.xml"/><Relationship Id="rId2" Type="http://schemas.openxmlformats.org/officeDocument/2006/relationships/chartUserShapes" Target="../drawings/drawing5.xml"/><Relationship Id="rId1" Type="http://schemas.openxmlformats.org/officeDocument/2006/relationships/oleObject" Target="file:///H:\&#24037;&#20316;&#36164;&#26009;\2022&#24180;&#32479;&#35745;&#20135;&#21697;\2022&#24180;&#32479;&#35745;&#20135;&#21697;&#30340;&#25968;&#25454;&#25910;&#38598;\2022&#24180;&#32479;&#35745;&#20844;&#25253;&#20316;&#22270;.xlsx" TargetMode="External"/></Relationships>
</file>

<file path=word/charts/_rels/chart6.xml.rels><?xml version="1.0" encoding="UTF-8" standalone="yes"?>
<Relationships xmlns="http://schemas.openxmlformats.org/package/2006/relationships"><Relationship Id="rId4" Type="http://schemas.microsoft.com/office/2011/relationships/chartColorStyle" Target="colors6.xml"/><Relationship Id="rId3" Type="http://schemas.microsoft.com/office/2011/relationships/chartStyle" Target="style6.xml"/><Relationship Id="rId2" Type="http://schemas.openxmlformats.org/officeDocument/2006/relationships/chartUserShapes" Target="../drawings/drawing6.xml"/><Relationship Id="rId1" Type="http://schemas.openxmlformats.org/officeDocument/2006/relationships/oleObject" Target="file:///H:\&#24037;&#20316;&#36164;&#26009;\2022&#24180;&#32479;&#35745;&#20135;&#21697;\2022&#24180;&#32479;&#35745;&#20135;&#21697;&#30340;&#25968;&#25454;&#25910;&#38598;\2022&#24180;&#32479;&#35745;&#20844;&#25253;&#20316;&#22270;.xlsx" TargetMode="External"/></Relationships>
</file>

<file path=word/charts/_rels/chart7.xml.rels><?xml version="1.0" encoding="UTF-8" standalone="yes"?>
<Relationships xmlns="http://schemas.openxmlformats.org/package/2006/relationships"><Relationship Id="rId4" Type="http://schemas.microsoft.com/office/2011/relationships/chartColorStyle" Target="colors7.xml"/><Relationship Id="rId3" Type="http://schemas.microsoft.com/office/2011/relationships/chartStyle" Target="style7.xml"/><Relationship Id="rId2" Type="http://schemas.openxmlformats.org/officeDocument/2006/relationships/chartUserShapes" Target="../drawings/drawing7.xml"/><Relationship Id="rId1" Type="http://schemas.openxmlformats.org/officeDocument/2006/relationships/oleObject" Target="file:///H:\&#24037;&#20316;&#36164;&#26009;\2022&#24180;&#32479;&#35745;&#20135;&#21697;\2022&#24180;&#32479;&#35745;&#20135;&#21697;&#30340;&#25968;&#25454;&#25910;&#38598;\2022&#24180;&#32479;&#35745;&#20844;&#25253;&#20316;&#22270;.xlsx" TargetMode="External"/></Relationships>
</file>

<file path=word/charts/_rels/chart8.xml.rels><?xml version="1.0" encoding="UTF-8" standalone="yes"?>
<Relationships xmlns="http://schemas.openxmlformats.org/package/2006/relationships"><Relationship Id="rId4" Type="http://schemas.microsoft.com/office/2011/relationships/chartColorStyle" Target="colors8.xml"/><Relationship Id="rId3" Type="http://schemas.microsoft.com/office/2011/relationships/chartStyle" Target="style8.xml"/><Relationship Id="rId2" Type="http://schemas.openxmlformats.org/officeDocument/2006/relationships/chartUserShapes" Target="../drawings/drawing8.xml"/><Relationship Id="rId1" Type="http://schemas.openxmlformats.org/officeDocument/2006/relationships/oleObject" Target="file:///H:\&#24037;&#20316;&#36164;&#26009;\2022&#24180;&#32479;&#35745;&#20135;&#21697;\2022&#24180;&#32479;&#35745;&#20135;&#21697;&#30340;&#25968;&#25454;&#25910;&#38598;\2022&#24180;&#32479;&#35745;&#20844;&#25253;&#20316;&#22270;.xlsx" TargetMode="External"/></Relationships>
</file>

<file path=word/charts/_rels/chart9.xml.rels><?xml version="1.0" encoding="UTF-8" standalone="yes"?>
<Relationships xmlns="http://schemas.openxmlformats.org/package/2006/relationships"><Relationship Id="rId4" Type="http://schemas.microsoft.com/office/2011/relationships/chartColorStyle" Target="colors9.xml"/><Relationship Id="rId3" Type="http://schemas.microsoft.com/office/2011/relationships/chartStyle" Target="style9.xml"/><Relationship Id="rId2" Type="http://schemas.openxmlformats.org/officeDocument/2006/relationships/chartUserShapes" Target="../drawings/drawing9.xml"/><Relationship Id="rId1" Type="http://schemas.openxmlformats.org/officeDocument/2006/relationships/oleObject" Target="file:///H:\&#24037;&#20316;&#36164;&#26009;\2022&#24180;&#32479;&#35745;&#20135;&#21697;\2022&#24180;&#32479;&#35745;&#20135;&#21697;&#30340;&#25968;&#25454;&#25910;&#38598;\2022&#24180;&#32479;&#35745;&#20844;&#25253;&#2031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1  2018-2022</a:t>
            </a: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年地区生产总值及其增长速度</a:t>
            </a:r>
            <a:endParaRPr altLang="en-US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28045479155387"/>
          <c:y val="0.010105871029836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71081081081081"/>
          <c:y val="0.168712340995314"/>
          <c:w val="0.854297297297297"/>
          <c:h val="0.737871010935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[2022年统计公报作图.xlsx]GDP!$E$4</c:f>
              <c:strCache>
                <c:ptCount val="1"/>
                <c:pt idx="0">
                  <c:v>地区生产总值</c:v>
                </c:pt>
              </c:strCache>
            </c:strRef>
          </c:tx>
          <c:spPr>
            <a:solidFill>
              <a:srgbClr val="FF7D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[2022年统计公报作图.xlsx]GDP!$D$5:$D$9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[2022年统计公报作图.xlsx]GDP!$E$5:$E$9</c:f>
              <c:numCache>
                <c:formatCode>General</c:formatCode>
                <c:ptCount val="5"/>
                <c:pt idx="0">
                  <c:v>980.87</c:v>
                </c:pt>
                <c:pt idx="1">
                  <c:v>1080.64</c:v>
                </c:pt>
                <c:pt idx="2">
                  <c:v>1120.64</c:v>
                </c:pt>
                <c:pt idx="3">
                  <c:v>1215.37</c:v>
                </c:pt>
                <c:pt idx="4">
                  <c:v>1302.16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87295732"/>
        <c:axId val="675832846"/>
      </c:barChart>
      <c:lineChart>
        <c:grouping val="standard"/>
        <c:varyColors val="0"/>
        <c:ser>
          <c:idx val="1"/>
          <c:order val="1"/>
          <c:tx>
            <c:strRef>
              <c:f>[2022年统计公报作图.xlsx]GDP!$F$4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flat">
              <a:solidFill>
                <a:srgbClr val="92D050"/>
              </a:solidFill>
              <a:miter lim="800000"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0.026086956521739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[2022年统计公报作图.xlsx]GDP!$D$5:$D$9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[2022年统计公报作图.xlsx]GDP!$F$5:$F$9</c:f>
              <c:numCache>
                <c:formatCode>General</c:formatCode>
                <c:ptCount val="5"/>
                <c:pt idx="0">
                  <c:v>9.6</c:v>
                </c:pt>
                <c:pt idx="1">
                  <c:v>8.5</c:v>
                </c:pt>
                <c:pt idx="2">
                  <c:v>3.6</c:v>
                </c:pt>
                <c:pt idx="3">
                  <c:v>7.8</c:v>
                </c:pt>
                <c:pt idx="4">
                  <c:v>4.9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2011376"/>
        <c:axId val="869912125"/>
      </c:lineChart>
      <c:catAx>
        <c:axId val="887295732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4351" cap="flat" cmpd="sng" algn="ctr">
            <a:solidFill>
              <a:schemeClr val="tx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75832846"/>
        <c:crosses val="autoZero"/>
        <c:auto val="1"/>
        <c:lblAlgn val="ctr"/>
        <c:lblOffset val="100"/>
        <c:noMultiLvlLbl val="0"/>
      </c:catAx>
      <c:valAx>
        <c:axId val="675832846"/>
        <c:scaling>
          <c:orientation val="minMax"/>
          <c:max val="16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13970"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87295732"/>
        <c:crosses val="autoZero"/>
        <c:crossBetween val="between"/>
      </c:valAx>
      <c:catAx>
        <c:axId val="312011376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69912125"/>
        <c:crosses val="autoZero"/>
        <c:auto val="1"/>
        <c:lblAlgn val="ctr"/>
        <c:lblOffset val="100"/>
        <c:noMultiLvlLbl val="0"/>
      </c:catAx>
      <c:valAx>
        <c:axId val="869912125"/>
        <c:scaling>
          <c:orientation val="minMax"/>
          <c:max val="20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12011376"/>
        <c:crosses val="max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75000"/>
              <a:lumOff val="2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11115421276983"/>
          <c:y val="0.22731065540303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 sz="14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 sz="14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  2018-2022</a:t>
            </a:r>
            <a:r>
              <a:rPr altLang="en-US" sz="14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年三次产业增加值占地区生产</a:t>
            </a:r>
            <a:endParaRPr altLang="en-US" sz="1400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 sz="14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总值比重</a:t>
            </a:r>
            <a:endParaRPr altLang="en-US" sz="1400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29190406784153"/>
          <c:y val="0.013853613484183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7921028223135"/>
          <c:y val="0.190487185407527"/>
          <c:w val="0.89418311912018"/>
          <c:h val="0.6546755945509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'[2022年统计公报作图.xlsx]3次产业构成'!$D$5</c:f>
              <c:strCache>
                <c:ptCount val="1"/>
                <c:pt idx="0">
                  <c:v>一产业</c:v>
                </c:pt>
              </c:strCache>
            </c:strRef>
          </c:tx>
          <c:spPr>
            <a:solidFill>
              <a:srgbClr val="92D34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139450564774787"/>
                  <c:y val="-0.01928886823146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139450564774787"/>
                  <c:y val="-0.01673251220079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01928886823146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01719730420636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432296750801841"/>
                  <c:y val="-0.01673251220079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'[2022年统计公报作图.xlsx]3次产业构成'!$C$6:$C$10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'[2022年统计公报作图.xlsx]3次产业构成'!$D$6:$D$10</c:f>
              <c:numCache>
                <c:formatCode>General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'[2022年统计公报作图.xlsx]3次产业构成'!$E$5</c:f>
              <c:strCache>
                <c:ptCount val="1"/>
                <c:pt idx="0">
                  <c:v>二产业</c:v>
                </c:pt>
              </c:strCache>
            </c:strRef>
          </c:tx>
          <c:spPr>
            <a:solidFill>
              <a:srgbClr val="99CD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'[2022年统计公报作图.xlsx]3次产业构成'!$C$6:$C$10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'[2022年统计公报作图.xlsx]3次产业构成'!$E$6:$E$10</c:f>
              <c:numCache>
                <c:formatCode>General</c:formatCode>
                <c:ptCount val="5"/>
                <c:pt idx="0">
                  <c:v>30.7</c:v>
                </c:pt>
                <c:pt idx="1">
                  <c:v>30.1</c:v>
                </c:pt>
                <c:pt idx="2">
                  <c:v>30.5</c:v>
                </c:pt>
                <c:pt idx="3">
                  <c:v>30.8</c:v>
                </c:pt>
                <c:pt idx="4">
                  <c:v>31.3</c:v>
                </c:pt>
              </c:numCache>
            </c:numRef>
          </c:val>
        </c:ser>
        <c:ser>
          <c:idx val="2"/>
          <c:order val="2"/>
          <c:tx>
            <c:strRef>
              <c:f>'[2022年统计公报作图.xlsx]3次产业构成'!$F$5</c:f>
              <c:strCache>
                <c:ptCount val="1"/>
                <c:pt idx="0">
                  <c:v>三产业</c:v>
                </c:pt>
              </c:strCache>
            </c:strRef>
          </c:tx>
          <c:spPr>
            <a:solidFill>
              <a:srgbClr val="FE7B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'[2022年统计公报作图.xlsx]3次产业构成'!$C$6:$C$10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'[2022年统计公报作图.xlsx]3次产业构成'!$F$6:$F$10</c:f>
              <c:numCache>
                <c:formatCode>General</c:formatCode>
                <c:ptCount val="5"/>
                <c:pt idx="0">
                  <c:v>69.2</c:v>
                </c:pt>
                <c:pt idx="1">
                  <c:v>69.8</c:v>
                </c:pt>
                <c:pt idx="2">
                  <c:v>69.3</c:v>
                </c:pt>
                <c:pt idx="3">
                  <c:v>69.1</c:v>
                </c:pt>
                <c:pt idx="4">
                  <c:v>68.6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5874609"/>
        <c:axId val="421291601"/>
      </c:barChart>
      <c:catAx>
        <c:axId val="555874609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21291601"/>
        <c:crosses val="autoZero"/>
        <c:auto val="1"/>
        <c:lblAlgn val="ctr"/>
        <c:lblOffset val="100"/>
        <c:noMultiLvlLbl val="0"/>
      </c:catAx>
      <c:valAx>
        <c:axId val="42129160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55874609"/>
        <c:crosses val="autoZero"/>
        <c:crossBetween val="between"/>
        <c:majorUnit val="20"/>
      </c:valAx>
      <c:spPr>
        <a:solidFill>
          <a:srgbClr val="EEF6F8"/>
        </a:solidFill>
        <a:ln w="15875" cmpd="sng">
          <a:solidFill>
            <a:schemeClr val="tx1">
              <a:lumMod val="75000"/>
              <a:lumOff val="2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336093812110772"/>
          <c:y val="0.91618563842068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3  2018-2022</a:t>
            </a: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年城镇新增就业人数</a:t>
            </a:r>
            <a:endParaRPr altLang="en-US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7D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[2022年统计公报作图.xlsx]城镇新增就业!$C$7:$C$11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[2022年统计公报作图.xlsx]城镇新增就业!$D$7:$D$11</c:f>
              <c:numCache>
                <c:formatCode>General</c:formatCode>
                <c:ptCount val="5"/>
                <c:pt idx="0">
                  <c:v>11182</c:v>
                </c:pt>
                <c:pt idx="1">
                  <c:v>12192</c:v>
                </c:pt>
                <c:pt idx="2">
                  <c:v>11310</c:v>
                </c:pt>
                <c:pt idx="3">
                  <c:v>12360</c:v>
                </c:pt>
                <c:pt idx="4">
                  <c:v>14486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4708112"/>
        <c:axId val="754561972"/>
      </c:barChart>
      <c:catAx>
        <c:axId val="574708112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54561972"/>
        <c:crosses val="autoZero"/>
        <c:auto val="1"/>
        <c:lblAlgn val="ctr"/>
        <c:lblOffset val="100"/>
        <c:noMultiLvlLbl val="0"/>
      </c:catAx>
      <c:valAx>
        <c:axId val="754561972"/>
        <c:scaling>
          <c:orientation val="minMax"/>
          <c:max val="16000"/>
          <c:min val="10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74708112"/>
        <c:crosses val="autoZero"/>
        <c:crossBetween val="between"/>
        <c:majorUnit val="1000"/>
      </c:valAx>
      <c:spPr>
        <a:solidFill>
          <a:srgbClr val="EEF6F8"/>
        </a:solidFill>
        <a:ln w="15875" cmpd="sng">
          <a:solidFill>
            <a:schemeClr val="tx1">
              <a:lumMod val="75000"/>
              <a:lumOff val="25000"/>
            </a:schemeClr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5  2018-2022</a:t>
            </a: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年规模以上工业增加值</a:t>
            </a:r>
            <a:endParaRPr altLang="en-US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增长速度</a:t>
            </a:r>
            <a:endParaRPr altLang="en-US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8800612216502"/>
          <c:y val="0.204137931034483"/>
          <c:w val="0.880951718380409"/>
          <c:h val="0.681931034482759"/>
        </c:manualLayout>
      </c:layout>
      <c:lineChart>
        <c:grouping val="standard"/>
        <c:varyColors val="0"/>
        <c:ser>
          <c:idx val="0"/>
          <c:order val="0"/>
          <c:tx>
            <c:strRef>
              <c:f>'[2022年统计公报作图.xlsx]规模工业增加值 '!$D$5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0.00376516057593346"/>
                  <c:y val="0.10351600403764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'[2022年统计公报作图.xlsx]规模工业增加值 '!$C$6:$C$10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'[2022年统计公报作图.xlsx]规模工业增加值 '!$D$6:$D$10</c:f>
              <c:numCache>
                <c:formatCode>General</c:formatCode>
                <c:ptCount val="5"/>
                <c:pt idx="0">
                  <c:v>3.1</c:v>
                </c:pt>
                <c:pt idx="1">
                  <c:v>3.4</c:v>
                </c:pt>
                <c:pt idx="2">
                  <c:v>0.9</c:v>
                </c:pt>
                <c:pt idx="3">
                  <c:v>5.3</c:v>
                </c:pt>
                <c:pt idx="4">
                  <c:v>6.6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8746947"/>
        <c:axId val="787348129"/>
      </c:lineChart>
      <c:catAx>
        <c:axId val="438746947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87348129"/>
        <c:crosses val="autoZero"/>
        <c:auto val="1"/>
        <c:lblAlgn val="ctr"/>
        <c:lblOffset val="100"/>
        <c:noMultiLvlLbl val="0"/>
      </c:catAx>
      <c:valAx>
        <c:axId val="787348129"/>
        <c:scaling>
          <c:orientation val="minMax"/>
          <c:max val="7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_);[Red]\(#,##0.0\)" sourceLinked="0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38746947"/>
        <c:crosses val="autoZero"/>
        <c:crossBetween val="between"/>
      </c:valAx>
      <c:spPr>
        <a:solidFill>
          <a:srgbClr val="EEF6F8"/>
        </a:solidFill>
        <a:ln w="12700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875554598527558"/>
          <c:y val="0.20121876635989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4  2018-2022</a:t>
            </a: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年全部工业增加值增长速度</a:t>
            </a:r>
            <a:endParaRPr altLang="en-US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493018111433707"/>
          <c:y val="0.17946302402261"/>
          <c:w val="0.88101755841283"/>
          <c:h val="0.706641544983514"/>
        </c:manualLayout>
      </c:layout>
      <c:lineChart>
        <c:grouping val="standard"/>
        <c:varyColors val="0"/>
        <c:ser>
          <c:idx val="0"/>
          <c:order val="0"/>
          <c:tx>
            <c:strRef>
              <c:f>[2022年统计公报作图.xlsx]工业增加值!$D$5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0</a:t>
                    </a:r>
                    <a:r>
                      <a:rPr lang="en-US" altLang="zh-CN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.0</a:t>
                    </a:r>
                    <a:endParaRPr lang="en-US" altLang="zh-CN"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00376516057593346"/>
                  <c:y val="0.10351600403764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[2022年统计公报作图.xlsx]工业增加值!$C$6:$C$10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[2022年统计公报作图.xlsx]工业增加值!$D$6:$D$10</c:f>
              <c:numCache>
                <c:formatCode>General</c:formatCode>
                <c:ptCount val="5"/>
                <c:pt idx="0">
                  <c:v>2.1</c:v>
                </c:pt>
                <c:pt idx="1">
                  <c:v>3.7</c:v>
                </c:pt>
                <c:pt idx="2">
                  <c:v>0</c:v>
                </c:pt>
                <c:pt idx="3">
                  <c:v>5.5</c:v>
                </c:pt>
                <c:pt idx="4">
                  <c:v>6.7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8746947"/>
        <c:axId val="787348129"/>
      </c:lineChart>
      <c:catAx>
        <c:axId val="438746947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87348129"/>
        <c:crosses val="autoZero"/>
        <c:auto val="1"/>
        <c:lblAlgn val="ctr"/>
        <c:lblOffset val="100"/>
        <c:noMultiLvlLbl val="0"/>
      </c:catAx>
      <c:valAx>
        <c:axId val="787348129"/>
        <c:scaling>
          <c:orientation val="minMax"/>
          <c:max val="7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_);[Red]\(#,##0.0\)" sourceLinked="0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38746947"/>
        <c:crosses val="autoZero"/>
        <c:crossBetween val="between"/>
      </c:valAx>
      <c:spPr>
        <a:solidFill>
          <a:srgbClr val="EEF6F8"/>
        </a:solidFill>
        <a:ln w="12700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875554598527558"/>
          <c:y val="0.20121876635989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6   2018-2022</a:t>
            </a: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年建</a:t>
            </a:r>
            <a:r>
              <a:rPr altLang="en-US">
                <a:latin typeface="+mn-ea"/>
                <a:ea typeface="+mn-ea"/>
                <a:cs typeface="Times New Roman" panose="02020603050405020304" charset="0"/>
                <a:sym typeface="Times New Roman" panose="02020603050405020304" charset="0"/>
              </a:rPr>
              <a:t>筑业</a:t>
            </a: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增加值及其增长速度</a:t>
            </a:r>
            <a:endParaRPr altLang="en-US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22565065736517"/>
          <c:y val="0.174570446735395"/>
          <c:w val="0.849449959753153"/>
          <c:h val="0.700893470790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[2022年统计公报作图.xlsx]建筑业增加值!$E$6</c:f>
              <c:strCache>
                <c:ptCount val="1"/>
                <c:pt idx="0">
                  <c:v>建筑业增加值</c:v>
                </c:pt>
              </c:strCache>
            </c:strRef>
          </c:tx>
          <c:spPr>
            <a:solidFill>
              <a:srgbClr val="FE7B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[2022年统计公报作图.xlsx]建筑业增加值!$D$7:$D$11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[2022年统计公报作图.xlsx]建筑业增加值!$E$7:$E$11</c:f>
              <c:numCache>
                <c:formatCode>0.00_ </c:formatCode>
                <c:ptCount val="5"/>
                <c:pt idx="0">
                  <c:v>148.51</c:v>
                </c:pt>
                <c:pt idx="1">
                  <c:v>209.47</c:v>
                </c:pt>
                <c:pt idx="2">
                  <c:v>227.7</c:v>
                </c:pt>
                <c:pt idx="3">
                  <c:v>249.35</c:v>
                </c:pt>
                <c:pt idx="4" c:formatCode="General">
                  <c:v>267.57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6026089"/>
        <c:axId val="702822237"/>
      </c:barChart>
      <c:lineChart>
        <c:grouping val="standard"/>
        <c:varyColors val="0"/>
        <c:ser>
          <c:idx val="1"/>
          <c:order val="1"/>
          <c:tx>
            <c:strRef>
              <c:f>[2022年统计公报作图.xlsx]建筑业增加值!$F$6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34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[2022年统计公报作图.xlsx]建筑业增加值!$D$7:$D$11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[2022年统计公报作图.xlsx]建筑业增加值!$F$7:$F$11</c:f>
              <c:numCache>
                <c:formatCode>0.0_ </c:formatCode>
                <c:ptCount val="5"/>
                <c:pt idx="0">
                  <c:v>10.2</c:v>
                </c:pt>
                <c:pt idx="1">
                  <c:v>9.9</c:v>
                </c:pt>
                <c:pt idx="2">
                  <c:v>5.4</c:v>
                </c:pt>
                <c:pt idx="3">
                  <c:v>3.6</c:v>
                </c:pt>
                <c:pt idx="4" c:formatCode="General">
                  <c:v>5.3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72241594"/>
        <c:axId val="793893075"/>
      </c:lineChart>
      <c:catAx>
        <c:axId val="726026089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02822237"/>
        <c:crosses val="autoZero"/>
        <c:auto val="1"/>
        <c:lblAlgn val="ctr"/>
        <c:lblOffset val="100"/>
        <c:noMultiLvlLbl val="0"/>
      </c:catAx>
      <c:valAx>
        <c:axId val="702822237"/>
        <c:scaling>
          <c:orientation val="minMax"/>
          <c:max val="3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_);[Red]\(0\)" sourceLinked="0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26026089"/>
        <c:crosses val="autoZero"/>
        <c:crossBetween val="between"/>
        <c:majorUnit val="50"/>
        <c:minorUnit val="10"/>
      </c:valAx>
      <c:catAx>
        <c:axId val="8722415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93893075"/>
        <c:crosses val="autoZero"/>
        <c:auto val="1"/>
        <c:lblAlgn val="ctr"/>
        <c:lblOffset val="100"/>
        <c:noMultiLvlLbl val="0"/>
      </c:catAx>
      <c:valAx>
        <c:axId val="793893075"/>
        <c:scaling>
          <c:orientation val="minMax"/>
          <c:max val="20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72241594"/>
        <c:crosses val="max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971527777777778"/>
          <c:y val="0.193333333333333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7</a:t>
            </a:r>
            <a:r>
              <a:rPr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 201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8</a:t>
            </a:r>
            <a:r>
              <a:rPr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-202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</a:t>
            </a:r>
            <a:r>
              <a:rPr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年固定资产投资增长速度</a:t>
            </a:r>
            <a:endParaRPr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12438990377911"/>
          <c:y val="0.164536369974436"/>
          <c:w val="0.831878399107516"/>
          <c:h val="0.739344643272136"/>
        </c:manualLayout>
      </c:layout>
      <c:lineChart>
        <c:grouping val="standard"/>
        <c:varyColors val="0"/>
        <c:ser>
          <c:idx val="0"/>
          <c:order val="0"/>
          <c:tx>
            <c:strRef>
              <c:f>[2022年统计公报作图.xlsx]固定资产投资!$D$5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34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34C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[2022年统计公报作图.xlsx]固定资产投资!$C$6:$C$10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[2022年统计公报作图.xlsx]固定资产投资!$D$6:$D$10</c:f>
              <c:numCache>
                <c:formatCode>0.0_ </c:formatCode>
                <c:ptCount val="5"/>
                <c:pt idx="0">
                  <c:v>11.1</c:v>
                </c:pt>
                <c:pt idx="1">
                  <c:v>10</c:v>
                </c:pt>
                <c:pt idx="2">
                  <c:v>-4.1</c:v>
                </c:pt>
                <c:pt idx="3">
                  <c:v>9.3</c:v>
                </c:pt>
                <c:pt idx="4" c:formatCode="General">
                  <c:v>9.1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9651329"/>
        <c:axId val="31653668"/>
      </c:lineChart>
      <c:catAx>
        <c:axId val="439651329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1653668"/>
        <c:crossesAt val="-5"/>
        <c:auto val="1"/>
        <c:lblAlgn val="ctr"/>
        <c:lblOffset val="100"/>
        <c:noMultiLvlLbl val="0"/>
      </c:catAx>
      <c:valAx>
        <c:axId val="31653668"/>
        <c:scaling>
          <c:orientation val="minMax"/>
          <c:max val="20"/>
          <c:min val="-5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.0_ 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39651329"/>
        <c:crosses val="autoZero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966392413889276"/>
          <c:y val="0.198233790378805"/>
          <c:w val="0.205968484172361"/>
          <c:h val="0.039274924471299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8  2018-2022</a:t>
            </a: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年社会消费品零售总额及其增长速度</a:t>
            </a:r>
            <a:endParaRPr altLang="en-US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09029066171923"/>
          <c:y val="0.007183908045977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48055555555556"/>
          <c:y val="0.165972222222222"/>
          <c:w val="0.844138888888889"/>
          <c:h val="0.73041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[2022年统计公报作图.xlsx]社零!$E$6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solidFill>
              <a:srgbClr val="FE7B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[2022年统计公报作图.xlsx]社零!$D$7:$D$11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[2022年统计公报作图.xlsx]社零!$E$7:$E$11</c:f>
              <c:numCache>
                <c:formatCode>0.00_ </c:formatCode>
                <c:ptCount val="5"/>
                <c:pt idx="0">
                  <c:v>386.16</c:v>
                </c:pt>
                <c:pt idx="1">
                  <c:v>422.21</c:v>
                </c:pt>
                <c:pt idx="2">
                  <c:v>407.64</c:v>
                </c:pt>
                <c:pt idx="3">
                  <c:v>463.03</c:v>
                </c:pt>
                <c:pt idx="4" c:formatCode="General">
                  <c:v>465.96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6026089"/>
        <c:axId val="702822237"/>
      </c:barChart>
      <c:lineChart>
        <c:grouping val="standard"/>
        <c:varyColors val="0"/>
        <c:ser>
          <c:idx val="1"/>
          <c:order val="1"/>
          <c:tx>
            <c:strRef>
              <c:f>[2022年统计公报作图.xlsx]社零!$F$6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34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0.00184162062615101"/>
                  <c:y val="-0.145223752151463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0142127968700889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[2022年统计公报作图.xlsx]社零!$D$7:$D$11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[2022年统计公报作图.xlsx]社零!$F$7:$F$11</c:f>
              <c:numCache>
                <c:formatCode>0.0_ </c:formatCode>
                <c:ptCount val="5"/>
                <c:pt idx="0">
                  <c:v>9.7</c:v>
                </c:pt>
                <c:pt idx="1">
                  <c:v>9.7</c:v>
                </c:pt>
                <c:pt idx="2">
                  <c:v>-3.5</c:v>
                </c:pt>
                <c:pt idx="3">
                  <c:v>13.6</c:v>
                </c:pt>
                <c:pt idx="4" c:formatCode="General">
                  <c:v>0.6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72241594"/>
        <c:axId val="793893075"/>
      </c:lineChart>
      <c:catAx>
        <c:axId val="726026089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02822237"/>
        <c:crosses val="autoZero"/>
        <c:auto val="1"/>
        <c:lblAlgn val="ctr"/>
        <c:lblOffset val="100"/>
        <c:noMultiLvlLbl val="0"/>
      </c:catAx>
      <c:valAx>
        <c:axId val="702822237"/>
        <c:scaling>
          <c:orientation val="minMax"/>
          <c:max val="6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_);[Red]\(0\)" sourceLinked="0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26026089"/>
        <c:crosses val="autoZero"/>
        <c:crossBetween val="between"/>
        <c:majorUnit val="100"/>
        <c:minorUnit val="10"/>
      </c:valAx>
      <c:catAx>
        <c:axId val="8722415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93893075"/>
        <c:crosses val="autoZero"/>
        <c:auto val="1"/>
        <c:lblAlgn val="ctr"/>
        <c:lblOffset val="100"/>
        <c:noMultiLvlLbl val="0"/>
      </c:catAx>
      <c:valAx>
        <c:axId val="793893075"/>
        <c:scaling>
          <c:orientation val="minMax"/>
          <c:max val="25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72241594"/>
        <c:crosses val="max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741983094056085"/>
          <c:y val="0.173371647509579"/>
          <c:w val="0.47497651952234"/>
          <c:h val="0.079741379310344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9   2018-2022</a:t>
            </a:r>
            <a:r>
              <a:rPr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年城镇居民人均可支配收入及其增长速度</a:t>
            </a:r>
            <a:endParaRPr altLang="en-US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4525974025974"/>
          <c:y val="0.0069492703266157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1633747866374"/>
          <c:y val="0.175020542317173"/>
          <c:w val="0.83611314313582"/>
          <c:h val="0.729334428923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城镇居民可支配收入!$E$6</c:f>
              <c:strCache>
                <c:ptCount val="1"/>
                <c:pt idx="0">
                  <c:v>城镇居民人均可支配收入</c:v>
                </c:pt>
              </c:strCache>
            </c:strRef>
          </c:tx>
          <c:spPr>
            <a:solidFill>
              <a:srgbClr val="FE7B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城镇居民可支配收入!$D$7:$D$11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城镇居民可支配收入!$E$7:$E$11</c:f>
              <c:numCache>
                <c:formatCode>General</c:formatCode>
                <c:ptCount val="5"/>
                <c:pt idx="0">
                  <c:v>54476</c:v>
                </c:pt>
                <c:pt idx="1">
                  <c:v>59159</c:v>
                </c:pt>
                <c:pt idx="2">
                  <c:v>62293</c:v>
                </c:pt>
                <c:pt idx="3">
                  <c:v>66716</c:v>
                </c:pt>
                <c:pt idx="4">
                  <c:v>69985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6026089"/>
        <c:axId val="702822237"/>
      </c:barChart>
      <c:lineChart>
        <c:grouping val="standard"/>
        <c:varyColors val="0"/>
        <c:ser>
          <c:idx val="1"/>
          <c:order val="1"/>
          <c:tx>
            <c:strRef>
              <c:f>城镇居民可支配收入!$F$6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34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0.0025"/>
                  <c:y val="-0.0324137931034483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城镇居民可支配收入!$D$7:$D$11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城镇居民可支配收入!$F$7:$F$11</c:f>
              <c:numCache>
                <c:formatCode>General</c:formatCode>
                <c:ptCount val="5"/>
                <c:pt idx="0">
                  <c:v>8.2</c:v>
                </c:pt>
                <c:pt idx="1">
                  <c:v>8.6</c:v>
                </c:pt>
                <c:pt idx="2">
                  <c:v>5.3</c:v>
                </c:pt>
                <c:pt idx="3">
                  <c:v>7.1</c:v>
                </c:pt>
                <c:pt idx="4">
                  <c:v>4.9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72241594"/>
        <c:axId val="793893075"/>
      </c:lineChart>
      <c:catAx>
        <c:axId val="726026089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02822237"/>
        <c:crosses val="autoZero"/>
        <c:auto val="1"/>
        <c:lblAlgn val="ctr"/>
        <c:lblOffset val="100"/>
        <c:noMultiLvlLbl val="0"/>
      </c:catAx>
      <c:valAx>
        <c:axId val="702822237"/>
        <c:scaling>
          <c:orientation val="minMax"/>
          <c:max val="800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_);[Red]\(0\)" sourceLinked="0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26026089"/>
        <c:crosses val="autoZero"/>
        <c:crossBetween val="between"/>
        <c:majorUnit val="10000"/>
        <c:minorUnit val="10"/>
      </c:valAx>
      <c:catAx>
        <c:axId val="8722415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93893075"/>
        <c:crosses val="autoZero"/>
        <c:auto val="1"/>
        <c:lblAlgn val="ctr"/>
        <c:lblOffset val="100"/>
        <c:noMultiLvlLbl val="0"/>
      </c:catAx>
      <c:valAx>
        <c:axId val="793893075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72241594"/>
        <c:crosses val="max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105449278606245"/>
          <c:y val="0.20229523611769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0.942398505992394</cdr:x>
      <cdr:y>0.0504260244677492</cdr:y>
    </cdr:from>
    <cdr:to>
      <cdr:x>0.99513684270639</cdr:x>
      <cdr:y>0.131708481004213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421150" y="133077"/>
          <a:ext cx="247416" cy="214509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en-US" altLang="zh-CN" sz="10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</cdr:x>
      <cdr:y>0.037722248918789</cdr:y>
    </cdr:from>
    <cdr:to>
      <cdr:x>0.103769760843129</cdr:x>
      <cdr:y>0.117011052378664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0" y="99695"/>
          <a:ext cx="487680" cy="20955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zh-CN" altLang="en-US" sz="800"/>
            <a:t>亿元</a:t>
          </a:r>
          <a:endParaRPr lang="zh-CN" altLang="en-US" sz="8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0.00954021465482973</cdr:x>
      <cdr:y>0.0851997229277303</cdr:y>
    </cdr:from>
    <cdr:to>
      <cdr:x>0.0590963296674175</cdr:x>
      <cdr:y>0.161163703532671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5720" y="234315"/>
          <a:ext cx="237490" cy="20891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en-US" altLang="zh-CN" sz="12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2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0.0273785288727061</cdr:x>
      <cdr:y>0.0791159446345491</cdr:y>
    </cdr:from>
    <cdr:to>
      <cdr:x>0.107162820908104</cdr:x>
      <cdr:y>0.156817851863181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125748" y="213313"/>
          <a:ext cx="366446" cy="209501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zh-CN" altLang="en-US" sz="1000"/>
            <a:t>人</a:t>
          </a:r>
          <a:endParaRPr lang="zh-CN" altLang="en-US" sz="10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0.0059714475841477</cdr:x>
      <cdr:y>0.0950537786688599</cdr:y>
    </cdr:from>
    <cdr:to>
      <cdr:x>0.0607488709650935</cdr:x>
      <cdr:y>0.171905199255725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27252" y="262562"/>
          <a:ext cx="249990" cy="212283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en-US" altLang="zh-CN" sz="1000">
              <a:solidFill>
                <a:schemeClr val="tx1">
                  <a:lumMod val="85000"/>
                  <a:lumOff val="1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85000"/>
                <a:lumOff val="15000"/>
              </a:schemeClr>
            </a:solidFill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0.00346692553043961</cdr:x>
      <cdr:y>0.069076767174607</cdr:y>
    </cdr:from>
    <cdr:to>
      <cdr:x>0.0582443489113854</cdr:x>
      <cdr:y>0.145928187761472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15923" y="186245"/>
          <a:ext cx="251590" cy="207208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en-US" altLang="zh-CN" sz="1000">
              <a:solidFill>
                <a:schemeClr val="tx1">
                  <a:lumMod val="85000"/>
                  <a:lumOff val="1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85000"/>
                <a:lumOff val="15000"/>
              </a:schemeClr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0.00166666666666667</cdr:x>
      <cdr:y>0.0675862068965517</cdr:y>
    </cdr:from>
    <cdr:to>
      <cdr:x>0.0938888888888889</cdr:x>
      <cdr:y>0.143448275862069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7620" y="186690"/>
          <a:ext cx="421640" cy="20955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zh-CN" altLang="en-US" sz="900">
              <a:solidFill>
                <a:schemeClr val="tx1">
                  <a:lumMod val="65000"/>
                  <a:lumOff val="35000"/>
                </a:schemeClr>
              </a:solidFill>
            </a:rPr>
            <a:t>亿元</a:t>
          </a:r>
          <a:endParaRPr lang="zh-CN" altLang="en-US" sz="9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0.925756156277018</cdr:x>
      <cdr:y>0.0593103448275862</cdr:y>
    </cdr:from>
    <cdr:to>
      <cdr:x>0.997422822943684</cdr:x>
      <cdr:y>0.147586206896552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4381872" y="164395"/>
          <a:ext cx="339219" cy="244681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en-US" altLang="zh-CN" sz="10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0.0179891228559476</cdr:x>
      <cdr:y>0.0657680687892168</cdr:y>
    </cdr:from>
    <cdr:to>
      <cdr:x>0.0814391298284758</cdr:x>
      <cdr:y>0.142458749709505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81915" y="179705"/>
          <a:ext cx="288925" cy="20955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en-US" altLang="zh-CN" sz="1000">
              <a:solidFill>
                <a:schemeClr val="tx1">
                  <a:lumMod val="75000"/>
                  <a:lumOff val="2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75000"/>
                <a:lumOff val="25000"/>
              </a:schemeClr>
            </a:solidFill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0.056992337164751</cdr:y>
    </cdr:from>
    <cdr:to>
      <cdr:x>0.100898966858983</cdr:x>
      <cdr:y>0.150622605363985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0" y="151130"/>
          <a:ext cx="477520" cy="24828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solidFill>
                <a:schemeClr val="tx1">
                  <a:lumMod val="65000"/>
                  <a:lumOff val="35000"/>
                </a:schemeClr>
              </a:solidFill>
            </a:rPr>
            <a:t>亿元</a:t>
          </a:r>
          <a:endParaRPr lang="zh-CN" altLang="en-US" sz="9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0.921111111111111</cdr:x>
      <cdr:y>0.0622770267080061</cdr:y>
    </cdr:from>
    <cdr:to>
      <cdr:x>0.992777777777778</cdr:x>
      <cdr:y>0.150552888776972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4211320" y="173290"/>
          <a:ext cx="327660" cy="245634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en-US" altLang="zh-CN" sz="10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0.0321872713972202</cdr:x>
      <cdr:y>0.0803204601479047</cdr:y>
    </cdr:from>
    <cdr:to>
      <cdr:x>0.0790051207022677</cdr:x>
      <cdr:y>0.16557107641742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167640" y="248285"/>
          <a:ext cx="243840" cy="26352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solidFill>
                <a:schemeClr val="tx1">
                  <a:lumMod val="65000"/>
                  <a:lumOff val="35000"/>
                </a:schemeClr>
              </a:solidFill>
            </a:rPr>
            <a:t>元</a:t>
          </a:r>
          <a:endParaRPr lang="zh-CN" altLang="en-US" sz="9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0.931111111111111</cdr:x>
      <cdr:y>0.0801669709417313</cdr:y>
    </cdr:from>
    <cdr:to>
      <cdr:x>0.99375</cdr:x>
      <cdr:y>0.168482808458847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4257040" y="219914"/>
          <a:ext cx="286385" cy="242268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en-US" altLang="zh-CN" sz="10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22D40-2DCA-424E-91A5-924AAA9A7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2218</Words>
  <Characters>2747</Characters>
  <Lines>4</Lines>
  <Paragraphs>5</Paragraphs>
  <TotalTime>1</TotalTime>
  <ScaleCrop>false</ScaleCrop>
  <LinksUpToDate>false</LinksUpToDate>
  <CharactersWithSpaces>2755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2018-03-06T03:14:00Z</dcterms:created>
  <dc:creator>Administrator</dc:creator>
  <cp:lastModifiedBy>董妮</cp:lastModifiedBy>
  <cp:lastPrinted>2023-03-24T02:15:00Z</cp:lastPrinted>
  <dcterms:modified xsi:type="dcterms:W3CDTF">2023-03-27T05:54:45Z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FE05061CB99248D5A319688A33BDED15</vt:lpwstr>
  </property>
</Properties>
</file>