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rPr>
          <w:rFonts w:hint="default" w:ascii="Times New Roman" w:hAnsi="Times New Roman" w:eastAsia="方正黑体_GBK"/>
          <w:sz w:val="20"/>
          <w:szCs w:val="20"/>
        </w:rPr>
      </w:pPr>
      <w:r>
        <w:rPr>
          <w:rFonts w:hint="default" w:ascii="Times New Roman" w:hAnsi="Times New Roman" w:eastAsia="方正黑体_GBK"/>
          <w:sz w:val="20"/>
          <w:szCs w:val="20"/>
        </w:rPr>
        <w:t>附件1</w:t>
      </w:r>
    </w:p>
    <w:p>
      <w:pPr>
        <w:pStyle w:val="5"/>
        <w:jc w:val="center"/>
        <w:rPr>
          <w:rFonts w:hint="default" w:ascii="Times New Roman" w:hAnsi="Times New Roman" w:eastAsia="方正大标宋简体"/>
          <w:sz w:val="36"/>
          <w:szCs w:val="36"/>
        </w:rPr>
      </w:pPr>
      <w:r>
        <w:rPr>
          <w:rFonts w:hint="default" w:ascii="Times New Roman" w:hAnsi="Times New Roman" w:eastAsia="方正大标宋简体"/>
          <w:sz w:val="36"/>
          <w:szCs w:val="36"/>
        </w:rPr>
        <w:t>长沙市残疾人辅助器具补贴目录</w:t>
      </w:r>
    </w:p>
    <w:tbl>
      <w:tblPr>
        <w:tblStyle w:val="2"/>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325"/>
        <w:gridCol w:w="581"/>
        <w:gridCol w:w="594"/>
        <w:gridCol w:w="718"/>
        <w:gridCol w:w="325"/>
        <w:gridCol w:w="723"/>
        <w:gridCol w:w="759"/>
        <w:gridCol w:w="1999"/>
        <w:gridCol w:w="1920"/>
        <w:gridCol w:w="37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6"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序号</w:t>
            </w:r>
          </w:p>
        </w:tc>
        <w:tc>
          <w:tcPr>
            <w:tcW w:w="510"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残疾</w:t>
            </w:r>
          </w:p>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类别</w:t>
            </w:r>
          </w:p>
        </w:tc>
        <w:tc>
          <w:tcPr>
            <w:tcW w:w="1035"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辅具类别</w:t>
            </w:r>
          </w:p>
        </w:tc>
        <w:tc>
          <w:tcPr>
            <w:tcW w:w="1070"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名称</w:t>
            </w:r>
          </w:p>
        </w:tc>
        <w:tc>
          <w:tcPr>
            <w:tcW w:w="454"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单位</w:t>
            </w:r>
          </w:p>
        </w:tc>
        <w:tc>
          <w:tcPr>
            <w:tcW w:w="850"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使用年限</w:t>
            </w:r>
          </w:p>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（年）</w:t>
            </w:r>
          </w:p>
        </w:tc>
        <w:tc>
          <w:tcPr>
            <w:tcW w:w="850"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最高补贴</w:t>
            </w:r>
          </w:p>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金额（元）</w:t>
            </w:r>
          </w:p>
        </w:tc>
        <w:tc>
          <w:tcPr>
            <w:tcW w:w="3231"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产品功能及说明</w:t>
            </w:r>
          </w:p>
        </w:tc>
        <w:tc>
          <w:tcPr>
            <w:tcW w:w="3436" w:type="dxa"/>
            <w:tcBorders>
              <w:top w:val="single" w:color="000000" w:sz="6"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适用对象及用途</w:t>
            </w:r>
          </w:p>
        </w:tc>
        <w:tc>
          <w:tcPr>
            <w:tcW w:w="567" w:type="dxa"/>
            <w:tcBorders>
              <w:top w:val="single" w:color="000000" w:sz="6"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评估</w:t>
            </w:r>
          </w:p>
          <w:p>
            <w:pPr>
              <w:pStyle w:val="5"/>
              <w:jc w:val="center"/>
              <w:rPr>
                <w:rFonts w:hint="default" w:ascii="方正黑体_GBK" w:hAnsi="方正黑体_GBK" w:eastAsia="方正黑体_GBK"/>
                <w:sz w:val="20"/>
                <w:szCs w:val="20"/>
              </w:rPr>
            </w:pPr>
            <w:r>
              <w:rPr>
                <w:rFonts w:hint="default" w:ascii="方正黑体_GBK" w:hAnsi="方正黑体_GBK" w:eastAsia="方正黑体_GBK"/>
                <w:sz w:val="20"/>
                <w:szCs w:val="20"/>
              </w:rPr>
              <w:t>级别</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个人移动</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普通轮椅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手动四轮轮椅，包括助推轮椅、手动轮椅、带座便功能的轮椅等（任选其一），为固定扶手，固定式脚踏板。</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下肢残疾，需借助轮椅移动的残疾人。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功能轮椅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800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扶手可掀或可拆卸，踏板可翻、高度可调，踏板支架可外旋的手动轮椅。</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长时间乘坐轮椅，且需在轮椅上进行位置转移的截瘫、偏瘫等残疾人。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高靠背轮椅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配有头枕、身体固定带、腿托等配件，靠背可调为全躺位或半躺位的手动轮椅。</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难以在轮椅上保持坐姿但需较长时间依赖轮椅移动的重度肢体残疾人。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运动式生活轮椅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扶手和靠背较低，大轮可拆、前轮较小、驱动灵活，需量身选配的手动轮椅。</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适用于能够自行驱动轮椅，上肢臂力较好，身体控制能力强，需长时间依赖轮椅生活的截瘫等残疾人。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8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电动轮椅</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（室内型）</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电池驱动，有单手操作电子控制装置的四轮轮椅。</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适用于需借助轮椅生活，不具备使用手动轮椅能力，经评估有单手能操控轮椅控制器，无认知障碍的四肢截瘫等重度肢体残疾人。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助行器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包括四脚框架式、两轮或四轮、手扶带座式，高度可调。</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平衡能力和下肢肌力稍差，上肢功能尚可，需借助助行器具站立和行走的残疾人。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7</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前臂支撑</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台式助行器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手部有平台支撑，可带座和制动，高度可调。</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用于下肢肢力及平衡能力差，尚有行走功能的肢体残疾人，辅助站立和行走。</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8</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手摇三轮车</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手动三轮轮椅车，有倒档和驻车装置，座位有扶手。</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下肢残疾，但身体功能较好，具备操控能力、需较长距离户外移动的残疾人。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22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9</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移乘板</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用于放置在轮椅和床、轮椅和坐厕之间辅助使用者完成转移的装置，需表面光滑，摩擦力小、抗折和方便取放携带。</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长期乘坐轮椅并有自主移位需求的残疾人。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4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个人移动</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腋拐</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副</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腋下部位有一个支撑托的助行器具，钢质或铝合金材质，高度可调，能帮助行走困难的残疾人实现部分行走功能。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单腿或双脚支撑能力较差，上肢功能健全的残疾人。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11</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肘拐</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副</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有前臂支撑架或环带，钢质或铝合金材质，高度可调，能帮助行走困难的残疾人实现部分行走功能。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单腿或双脚支撑能力较差，上肢功能健全的残疾人。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12</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多脚手杖</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支</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非由前臂或腋下支撑的单臂操作助行器具，钢质或铝合金材质，高度可调，能帮助行走困难的残疾人实现部分行走功能。</w:t>
            </w:r>
          </w:p>
        </w:tc>
        <w:tc>
          <w:tcPr>
            <w:tcW w:w="3436"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下肢肌力弱、平衡能力差，但上肢功能健全的残疾人。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13</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单脚手杖</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支</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3436"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14</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手杖凳</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支</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3436"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多功能</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护理床</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张</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钢制框架、带护栏、床边桌，可手动或电动调节的护理床。</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长期卧床无法自行起身的重度残疾人。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16</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个人移动</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防压疮床垫</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张</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具有分散局部压力功能的床垫，包括交替充气型和记忆海绵垫等。</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长时间卧床、无法自行翻身的重度残疾人。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17</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防压疮座垫</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张</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具有分散局部压力功能的座垫，包括气道、凝胶、记忆海绵垫等材质。</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需长时间乘坐轮椅的残疾人。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18</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个人生活</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自理及防护辅具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接尿器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辅助小便，包括尿壶或接尿器（任选其一），分男性、女性两种。</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适用于长期卧床或行动不便的残疾人。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19</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便盆</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用于完成卧位如厕产品。包括塑料或金属材质，分男用和女用款。</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适用于长期卧床或行动不便的残疾人人。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座便椅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带便桶，有靠背，可折叠的框架式椅。</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因肢体功能障碍导致如厕困难的残疾人。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21</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洗浴椅/凳</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防水，高度可调节的洗浴用椅/凳，座板和支脚具有防滑性能。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年老体弱或肢体功能障碍难以站立洗浴的残疾人。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22</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生活自助具</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套</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帮助残疾人自主饮食的进食类辅具（专用刀、叉、勺、筷、杯盘、防滑垫等）</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因肢体功能障碍导致导致日常生活（主要指进食）能力下降的残疾人。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23</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下肢假肢</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足部假肢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代偿足部缺失部分的结构和功能。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部分足截肢，经评估适合装配的残疾人。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24</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赛姆假肢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代偿踝部截肢者部分结构和功能得到改善。</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踝部截肢、赛姆截肢或小腿残肢过长，经评估适合装配的残疾人。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vMerge w:val="restart"/>
            <w:tcBorders>
              <w:top w:val="single" w:color="000000" w:sz="2" w:space="0"/>
              <w:left w:val="single" w:color="000000" w:sz="6"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25</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小腿假肢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5000</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（补贴100%）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代偿小腿缺失部分的结构和功能。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小腿截肢，经评估适合装配的残疾人。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vMerge w:val="continue"/>
            <w:tcBorders>
              <w:top w:val="nil"/>
              <w:left w:val="single" w:color="000000" w:sz="6" w:space="0"/>
              <w:bottom w:val="single" w:color="000000" w:sz="2" w:space="0"/>
              <w:right w:val="single" w:color="000000" w:sz="2" w:space="0"/>
            </w:tcBorders>
            <w:tcMar>
              <w:top w:w="7" w:type="dxa"/>
              <w:left w:w="7" w:type="dxa"/>
              <w:bottom w:w="23" w:type="dxa"/>
              <w:right w:w="7" w:type="dxa"/>
            </w:tcMar>
            <w:vAlign w:val="center"/>
          </w:tcP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小腿假肢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7000</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（补贴60%）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代偿小腿缺失部分的结构和功能。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小腿截肢，经评估适合装配的残疾人。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26</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膝部假肢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代偿膝部截肢者缺失部分的结构和功能。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膝关节离断、小腿极短残肢、大腿残肢过长，经评估适合装配的残疾人。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vMerge w:val="restart"/>
            <w:tcBorders>
              <w:top w:val="single" w:color="000000" w:sz="2" w:space="0"/>
              <w:left w:val="single" w:color="000000" w:sz="6"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27</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大腿假肢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14000</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（补贴60%）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代偿大腿截肢者缺失部分的结构和功能。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大腿截肢者，经评估适合装配的残疾人。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vMerge w:val="continue"/>
            <w:tcBorders>
              <w:top w:val="nil"/>
              <w:left w:val="single" w:color="000000" w:sz="6" w:space="0"/>
              <w:bottom w:val="single" w:color="000000" w:sz="2" w:space="0"/>
              <w:right w:val="single" w:color="000000" w:sz="2" w:space="0"/>
            </w:tcBorders>
            <w:tcMar>
              <w:top w:w="7" w:type="dxa"/>
              <w:left w:w="7" w:type="dxa"/>
              <w:bottom w:w="23" w:type="dxa"/>
              <w:right w:w="7" w:type="dxa"/>
            </w:tcMar>
            <w:vAlign w:val="center"/>
          </w:tcP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大腿假肢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10000</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（补贴100%）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代偿大腿截肢者缺失部分的结构和功能。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大腿截肢者，经评估适合装配的残疾人。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28</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髋部假肢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代偿髋部截肢者缺失部分的结构和功能。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髋关节离断或大腿残肢过短，经评估适合装配的残疾人。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29</w:t>
            </w:r>
          </w:p>
        </w:tc>
        <w:tc>
          <w:tcPr>
            <w:tcW w:w="51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上肢假肢</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手部假肢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弥补外观缺损或代偿功能。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单个手指或多个手指缺损者，掌骨截肢者。</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上肢假肢</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腕离断假肢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弥补外观缺损或代偿功能。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腕离断或前臂长残肢的截肢者。</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31</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前臂假肢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弥补外观缺损或代偿功能。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前臂截肢者。</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32</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肘离断假肢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弥补外观缺损或代偿功能。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肘离断或上臂残肢过长、前臂极短残肢的截肢者。</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33</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上臂假肢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8000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弥补外观缺损或代偿功能。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上臂截肢者。</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34</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肩部假肢</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弥补外观缺损或代偿功能。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肩离断或上臂残肢过短的截肢者。</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35</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矫形器</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足矫形器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取型定制，用皮革、塑料及金属材料制作，用于改善足部功能。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扁平足、高弓足、内外翻足、糖尿病足、足弓部扭伤受压迫，胫骨后肌腱疼痛及前脚底疼痛等，经评估适合装配的足部功能障碍的残疾人。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36</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矫形鞋</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800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通过专业评估测量，专业设备取型定制，根据足部功能需要选择鞋型尺码和材料，用于足部畸形改善足部功能。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经评估适合装配的足部功能障碍的残疾人。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37</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腕手矫形器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800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取型定制，用皮革、塑料及金属材料制作，用于改善腕部功能。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手部畸形、掌指关节不能主动伸展、垂腕等残疾人。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38</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脊柱矫形器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起到控制或矫正脊柱侧弯，起支撑、固定、减荷、保护、矫正作用。</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脊柱损伤或变形的残疾人。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39</w:t>
            </w:r>
          </w:p>
        </w:tc>
        <w:tc>
          <w:tcPr>
            <w:tcW w:w="51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矫形器</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踝足矫形器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取型定制，固定或限制踝关节活动，起到稳定和保护踝关节作用。</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伤病导致的足下垂、内外翻足、踝关节无法控制等残疾人。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40</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肢体</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膝踝</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足矫形器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取型定制，起到固定或限制膝关节、踝关节活动，腿部支撑、矫正畸形等功能。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膝内翻、膝外翻、膝过伸、屈膝肌无力、膝韧带损伤、膝关节骨性关节炎等疾病引起的功能障碍，经过评估需要装配的残疾人。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41</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膝部矫形器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例</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3（0-14岁残疾儿童1年）</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固定膝部关节和辅助支撑。</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膝内翻、膝外翻、膝过伸、屈膝肌无力、膝韧带损伤、膝关节骨性关节炎等疾病引起的功能障碍，经过评估需要装配的残疾人。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91"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42</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视力</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个人移动</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盲杖</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支</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帮助视力残疾人感知周围环境，折叠式或可伸缩，帮助视力残疾人安全出行。</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适用于盲及低视力残疾人出行。</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43</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沟通和信息</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盲文写字板和笔</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套</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4行×28方，盲人书写工具。</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适用于盲人书写。</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44</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盲用手表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块</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包括语音报时或触摸式机械手表（任选其一）。</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适用于视力残疾人（计时）。</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75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45</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听书机</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具备互联网网站无障碍访问功能，支持多种格式数字资源播放；支持DAISY国际标准，具备章节直选和记录读书笔记等功能；用于盲及低视力残疾人者听读互联网信息内容及数字无障碍教学。</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适用于盲及低视力残疾人。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46</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手持式电子助视器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800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便携式电子放大设备，放大倍数可调，可提供多种显示模式。</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适用于视力残疾人近用（如阅读）。</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47</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中远距离眼镜式助视器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件</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焦距独立可调，最大可放大约2倍。</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适用于视力残疾中远距离视觉需求。</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48</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视力</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沟通和信息</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低视力专用滤光镜</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件</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镜片可有效过滤波长范围在400-500nm之间的光波90%以上；镜片规格可选。</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适用于低视力残疾人。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49</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光学放大镜</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近用光学助视器。非球面设计，含多种倍数，可配有照明光源。包括手持式、立式、镇纸式、胸挂式等（选其一），满足近距离视觉需求。</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适用于低视力残疾人近用。</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50</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单筒望远镜</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远用光学助视器。手持单筒式，焦距可调，放大倍率分2.5倍、4倍、6倍、8倍等（选其一）。主要用于看户外标识、公交站牌、红绿灯等看远需求。</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适用于低视力残疾人远用。</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51</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眼镜式</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助视器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件</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凹凸透镜、散光镜片、棱镜、双光镜等不同镜片组合，符合低视力者学习工作生活需求，便于低视力残疾人安全舒适配戴。</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适用于低视力残疾人。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52</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Style w:val="7"/>
                <w:rFonts w:hint="default" w:ascii="Times New Roman" w:hAnsi="Times New Roman" w:eastAsia="方正书宋_GBK"/>
                <w:color w:val="000000"/>
                <w:sz w:val="20"/>
                <w:szCs w:val="20"/>
              </w:rPr>
            </w:pPr>
            <w:r>
              <w:rPr>
                <w:rStyle w:val="7"/>
                <w:rFonts w:hint="default" w:ascii="Times New Roman" w:hAnsi="Times New Roman" w:eastAsia="方正书宋_GBK"/>
                <w:color w:val="000000"/>
                <w:sz w:val="20"/>
                <w:szCs w:val="20"/>
              </w:rPr>
              <w:t>听力</w:t>
            </w:r>
          </w:p>
          <w:p>
            <w:pPr>
              <w:pStyle w:val="5"/>
              <w:jc w:val="center"/>
              <w:rPr>
                <w:rFonts w:hint="default" w:ascii="Times New Roman" w:hAnsi="Times New Roman" w:eastAsia="方正书宋_GBK"/>
                <w:sz w:val="20"/>
                <w:szCs w:val="20"/>
              </w:rPr>
            </w:pPr>
            <w:r>
              <w:rPr>
                <w:rStyle w:val="8"/>
                <w:rFonts w:hint="default" w:ascii="Times New Roman" w:hAnsi="Times New Roman" w:eastAsia="方正书宋_GBK"/>
                <w:color w:val="000000"/>
                <w:sz w:val="20"/>
                <w:szCs w:val="20"/>
              </w:rPr>
              <w:t>/</w:t>
            </w:r>
            <w:r>
              <w:rPr>
                <w:rStyle w:val="7"/>
                <w:rFonts w:hint="default" w:ascii="Times New Roman" w:hAnsi="Times New Roman" w:eastAsia="方正书宋_GBK"/>
                <w:color w:val="000000"/>
                <w:sz w:val="20"/>
                <w:szCs w:val="20"/>
              </w:rPr>
              <w:t>言语</w:t>
            </w:r>
          </w:p>
          <w:p>
            <w:pPr>
              <w:pStyle w:val="5"/>
              <w:jc w:val="center"/>
              <w:rPr>
                <w:rStyle w:val="7"/>
                <w:rFonts w:hint="default" w:ascii="Times New Roman" w:hAnsi="Times New Roman" w:eastAsia="方正书宋_GBK"/>
                <w:color w:val="000000"/>
                <w:sz w:val="20"/>
                <w:szCs w:val="20"/>
              </w:rPr>
            </w:pPr>
            <w:r>
              <w:rPr>
                <w:rStyle w:val="7"/>
                <w:rFonts w:hint="default" w:ascii="Times New Roman" w:hAnsi="Times New Roman" w:eastAsia="方正书宋_GBK"/>
                <w:color w:val="000000"/>
                <w:sz w:val="20"/>
                <w:szCs w:val="20"/>
              </w:rPr>
              <w:t>残疾</w:t>
            </w: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耳背/定制式助听器及电池</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使用数字信号处理技术的助听装置。各通道可独立调节增益，功率涵盖中功率、大功率、特大功率耳背或定制式助听器。</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适用于有残余听力的听力残疾人。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53</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盒式助听器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400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又称体配式或口袋式助听器，操作方便，不易产生声反馈。使用5号、7号电池，或可充电电池。</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适用于有残余听力的听力残疾人。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54</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震动闹钟</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具备震动功能的报时装置，具有震动提醒、夜光显示等多种功能。</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适用于听力残疾人。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55</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便携式手写沟通板</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采用了低功耗的柔性液晶显示和一键擦除技术，帮助听力功能障碍者和语音功能障碍者进行文字沟通，可反复刷新5万次（3-5年）。</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适用于听力、语音残疾人进行文字沟通交流。</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56</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闪光门铃</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具有闪光装置的门铃，起到提示作用</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适用于听力障碍的残疾人。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57</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Style w:val="7"/>
                <w:rFonts w:hint="default" w:ascii="Times New Roman" w:hAnsi="Times New Roman" w:eastAsia="方正书宋_GBK"/>
                <w:color w:val="000000"/>
                <w:sz w:val="20"/>
                <w:szCs w:val="20"/>
              </w:rPr>
            </w:pPr>
            <w:r>
              <w:rPr>
                <w:rStyle w:val="7"/>
                <w:rFonts w:hint="default" w:ascii="Times New Roman" w:hAnsi="Times New Roman" w:eastAsia="方正书宋_GBK"/>
                <w:color w:val="000000"/>
                <w:sz w:val="20"/>
                <w:szCs w:val="20"/>
              </w:rPr>
              <w:t>精神</w:t>
            </w:r>
          </w:p>
          <w:p>
            <w:pPr>
              <w:pStyle w:val="5"/>
              <w:jc w:val="center"/>
              <w:rPr>
                <w:rFonts w:hint="default" w:ascii="Times New Roman" w:hAnsi="Times New Roman" w:eastAsia="方正书宋_GBK"/>
                <w:sz w:val="20"/>
                <w:szCs w:val="20"/>
              </w:rPr>
            </w:pPr>
            <w:r>
              <w:rPr>
                <w:rStyle w:val="8"/>
                <w:rFonts w:hint="default" w:ascii="Times New Roman" w:hAnsi="Times New Roman" w:eastAsia="方正书宋_GBK"/>
                <w:color w:val="000000"/>
                <w:sz w:val="20"/>
                <w:szCs w:val="20"/>
              </w:rPr>
              <w:t>/</w:t>
            </w:r>
            <w:r>
              <w:rPr>
                <w:rStyle w:val="7"/>
                <w:rFonts w:hint="default" w:ascii="Times New Roman" w:hAnsi="Times New Roman" w:eastAsia="方正书宋_GBK"/>
                <w:color w:val="000000"/>
                <w:sz w:val="20"/>
                <w:szCs w:val="20"/>
              </w:rPr>
              <w:t>智力</w:t>
            </w:r>
          </w:p>
          <w:p>
            <w:pPr>
              <w:pStyle w:val="5"/>
              <w:jc w:val="center"/>
              <w:rPr>
                <w:rStyle w:val="7"/>
                <w:rFonts w:hint="default" w:ascii="Times New Roman" w:hAnsi="Times New Roman" w:eastAsia="方正书宋_GBK"/>
                <w:color w:val="000000"/>
                <w:sz w:val="20"/>
                <w:szCs w:val="20"/>
              </w:rPr>
            </w:pPr>
            <w:r>
              <w:rPr>
                <w:rStyle w:val="7"/>
                <w:rFonts w:hint="default" w:ascii="Times New Roman" w:hAnsi="Times New Roman" w:eastAsia="方正书宋_GBK"/>
                <w:color w:val="000000"/>
                <w:sz w:val="20"/>
                <w:szCs w:val="20"/>
              </w:rPr>
              <w:t>残疾</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个人生活</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自理和防护</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随身定位器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2</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通过卫星定位系统，可以防走失的手环、腕表、挂件</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任何阶段的精神残疾和智力残疾人。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58</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生活自助具</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套</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包含防洒碗（盘）、助食筷、弯柄勺（叉），辅助残疾人进行进食。</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适用于智力残疾人、精神残疾人。</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59</w:t>
            </w:r>
          </w:p>
        </w:tc>
        <w:tc>
          <w:tcPr>
            <w:tcW w:w="510"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肢</w:t>
            </w:r>
            <w:r>
              <w:rPr>
                <w:rStyle w:val="7"/>
                <w:rFonts w:hint="default" w:ascii="Times New Roman" w:hAnsi="Times New Roman" w:eastAsia="方正书宋_GBK"/>
                <w:color w:val="000000"/>
                <w:sz w:val="20"/>
                <w:szCs w:val="20"/>
              </w:rPr>
              <w:t>体残疾（0-14岁儿童、少年）</w:t>
            </w:r>
          </w:p>
        </w:tc>
        <w:tc>
          <w:tcPr>
            <w:tcW w:w="1035" w:type="dxa"/>
            <w:vMerge w:val="restart"/>
            <w:tcBorders>
              <w:top w:val="single" w:color="000000" w:sz="2" w:space="0"/>
              <w:left w:val="single" w:color="000000" w:sz="2" w:space="0"/>
              <w:bottom w:val="nil"/>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个人移动</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辅助器具</w:t>
            </w: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脑瘫儿童</w:t>
            </w:r>
          </w:p>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专用轮椅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辅助代步功能，除轮椅基本配置外，各种有头靠和固定及限位装置，靠背可调为半躺位的手动轮椅。</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适用于脑瘫儿童等，障碍较重不能独立行走的残疾儿童、少年。</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60</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儿童轮椅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尺寸相对成人轮椅小，辅助代步。</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适用于有代步需要的残疾儿童、少年。</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61</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儿童坐姿椅</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具有调整功能，有放置双手的操作平台、限位装置，能够帮助残疾儿童保持坐姿。</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适用于不能自行保持坐姿的残疾儿童、少年。</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62</w:t>
            </w:r>
          </w:p>
        </w:tc>
        <w:tc>
          <w:tcPr>
            <w:tcW w:w="510"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nil"/>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儿童站立架</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1500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直立式或前倾式站立架/床，桌面高度应可调整，整体可拆装折叠；带脚轮，可移动；护胸、护腹、护腿设计合理。</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无法自行站立的残疾儿童、少年。</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454" w:type="dxa"/>
            <w:tcBorders>
              <w:top w:val="single" w:color="000000" w:sz="2" w:space="0"/>
              <w:left w:val="single" w:color="000000" w:sz="6"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63</w:t>
            </w:r>
          </w:p>
        </w:tc>
        <w:tc>
          <w:tcPr>
            <w:tcW w:w="510"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35" w:type="dxa"/>
            <w:vMerge w:val="continue"/>
            <w:tcBorders>
              <w:top w:val="nil"/>
              <w:left w:val="single" w:color="000000" w:sz="2" w:space="0"/>
              <w:bottom w:val="single" w:color="000000" w:sz="2" w:space="0"/>
              <w:right w:val="single" w:color="000000" w:sz="2" w:space="0"/>
            </w:tcBorders>
            <w:tcMar>
              <w:top w:w="7" w:type="dxa"/>
              <w:left w:w="7" w:type="dxa"/>
              <w:bottom w:w="23" w:type="dxa"/>
              <w:right w:w="7" w:type="dxa"/>
            </w:tcMar>
            <w:vAlign w:val="center"/>
          </w:tcPr>
          <w:p/>
        </w:tc>
        <w:tc>
          <w:tcPr>
            <w:tcW w:w="107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儿童助行器</w:t>
            </w:r>
          </w:p>
        </w:tc>
        <w:tc>
          <w:tcPr>
            <w:tcW w:w="454"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w:t>
            </w:r>
          </w:p>
        </w:tc>
        <w:tc>
          <w:tcPr>
            <w:tcW w:w="3231"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两轮或四轮助行器及学步车，高度可调，包括前推式和后拉式及带坐立支撑。</w:t>
            </w:r>
          </w:p>
        </w:tc>
        <w:tc>
          <w:tcPr>
            <w:tcW w:w="3436" w:type="dxa"/>
            <w:tcBorders>
              <w:top w:val="single" w:color="000000" w:sz="2" w:space="0"/>
              <w:left w:val="single" w:color="000000" w:sz="2" w:space="0"/>
              <w:bottom w:val="single" w:color="000000" w:sz="2"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适用于不能独立行走的残疾儿童、少年。</w:t>
            </w:r>
          </w:p>
        </w:tc>
        <w:tc>
          <w:tcPr>
            <w:tcW w:w="567" w:type="dxa"/>
            <w:tcBorders>
              <w:top w:val="single" w:color="000000" w:sz="2" w:space="0"/>
              <w:left w:val="single" w:color="000000" w:sz="2" w:space="0"/>
              <w:bottom w:val="single" w:color="000000" w:sz="2"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初级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052" w:hRule="atLeast"/>
          <w:jc w:val="center"/>
        </w:trPr>
        <w:tc>
          <w:tcPr>
            <w:tcW w:w="454" w:type="dxa"/>
            <w:tcBorders>
              <w:top w:val="single" w:color="000000" w:sz="2" w:space="0"/>
              <w:left w:val="single" w:color="000000" w:sz="6"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64</w:t>
            </w:r>
          </w:p>
        </w:tc>
        <w:tc>
          <w:tcPr>
            <w:tcW w:w="510"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听力/言语残疾（0-14岁儿童、少年）</w:t>
            </w:r>
          </w:p>
        </w:tc>
        <w:tc>
          <w:tcPr>
            <w:tcW w:w="1035"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沟通和信息辅助器具</w:t>
            </w:r>
          </w:p>
        </w:tc>
        <w:tc>
          <w:tcPr>
            <w:tcW w:w="1070"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耳背/定制式助听器及电池</w:t>
            </w:r>
          </w:p>
        </w:tc>
        <w:tc>
          <w:tcPr>
            <w:tcW w:w="454"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台</w:t>
            </w:r>
          </w:p>
        </w:tc>
        <w:tc>
          <w:tcPr>
            <w:tcW w:w="850"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w:t>
            </w:r>
          </w:p>
        </w:tc>
        <w:tc>
          <w:tcPr>
            <w:tcW w:w="850"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3000</w:t>
            </w:r>
          </w:p>
        </w:tc>
        <w:tc>
          <w:tcPr>
            <w:tcW w:w="3231"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全数字信号处理，多通道压缩技术，输出功率包含中功率、大功率、特大功率。</w:t>
            </w:r>
          </w:p>
        </w:tc>
        <w:tc>
          <w:tcPr>
            <w:tcW w:w="3436" w:type="dxa"/>
            <w:tcBorders>
              <w:top w:val="single" w:color="000000" w:sz="2" w:space="0"/>
              <w:left w:val="single" w:color="000000" w:sz="2" w:space="0"/>
              <w:bottom w:val="single" w:color="000000" w:sz="6" w:space="0"/>
              <w:right w:val="single" w:color="000000" w:sz="2" w:space="0"/>
            </w:tcBorders>
            <w:tcMar>
              <w:top w:w="7" w:type="dxa"/>
              <w:left w:w="7" w:type="dxa"/>
              <w:bottom w:w="23" w:type="dxa"/>
              <w:right w:w="7" w:type="dxa"/>
            </w:tcMar>
            <w:vAlign w:val="center"/>
          </w:tcPr>
          <w:p>
            <w:pPr>
              <w:pStyle w:val="5"/>
              <w:rPr>
                <w:rFonts w:hint="default" w:ascii="Times New Roman" w:hAnsi="Times New Roman" w:eastAsia="方正书宋_GBK"/>
                <w:sz w:val="20"/>
                <w:szCs w:val="20"/>
              </w:rPr>
            </w:pPr>
            <w:r>
              <w:rPr>
                <w:rFonts w:hint="default" w:ascii="Times New Roman" w:hAnsi="Times New Roman" w:eastAsia="方正书宋_GBK"/>
                <w:sz w:val="20"/>
                <w:szCs w:val="20"/>
              </w:rPr>
              <w:t>适用于有残余听力的残疾儿童少年。</w:t>
            </w:r>
          </w:p>
        </w:tc>
        <w:tc>
          <w:tcPr>
            <w:tcW w:w="567" w:type="dxa"/>
            <w:tcBorders>
              <w:top w:val="single" w:color="000000" w:sz="2" w:space="0"/>
              <w:left w:val="single" w:color="000000" w:sz="2" w:space="0"/>
              <w:bottom w:val="single" w:color="000000" w:sz="6" w:space="0"/>
              <w:right w:val="single" w:color="000000" w:sz="6" w:space="0"/>
            </w:tcBorders>
            <w:tcMar>
              <w:top w:w="7" w:type="dxa"/>
              <w:left w:w="7" w:type="dxa"/>
              <w:bottom w:w="23" w:type="dxa"/>
              <w:right w:w="7" w:type="dxa"/>
            </w:tcMar>
            <w:vAlign w:val="center"/>
          </w:tcPr>
          <w:p>
            <w:pPr>
              <w:pStyle w:val="5"/>
              <w:jc w:val="center"/>
              <w:rPr>
                <w:rFonts w:hint="default" w:ascii="Times New Roman" w:hAnsi="Times New Roman" w:eastAsia="方正书宋_GBK"/>
                <w:sz w:val="20"/>
                <w:szCs w:val="20"/>
              </w:rPr>
            </w:pPr>
            <w:r>
              <w:rPr>
                <w:rFonts w:hint="default" w:ascii="Times New Roman" w:hAnsi="Times New Roman" w:eastAsia="方正书宋_GBK"/>
                <w:sz w:val="20"/>
                <w:szCs w:val="20"/>
              </w:rPr>
              <w:t>县级</w:t>
            </w:r>
          </w:p>
        </w:tc>
      </w:tr>
    </w:tbl>
    <w:p>
      <w:pPr>
        <w:pStyle w:val="5"/>
        <w:rPr>
          <w:rFonts w:hint="default" w:ascii="Calibri" w:hAnsi="Calibri" w:eastAsia="宋体"/>
          <w:sz w:val="20"/>
          <w:szCs w:val="20"/>
        </w:rPr>
      </w:pPr>
      <w:r>
        <w:rPr>
          <w:rFonts w:hint="default" w:ascii="Times New Roman" w:hAnsi="Times New Roman" w:eastAsia="宋体"/>
          <w:sz w:val="20"/>
          <w:szCs w:val="20"/>
        </w:rPr>
        <w:t>注：</w:t>
      </w:r>
      <w:r>
        <w:rPr>
          <w:rStyle w:val="9"/>
          <w:rFonts w:hint="default" w:ascii="Times New Roman" w:hAnsi="Times New Roman" w:eastAsia="宋体"/>
          <w:color w:val="000000"/>
          <w:sz w:val="20"/>
          <w:szCs w:val="20"/>
        </w:rPr>
        <w:t>1</w:t>
      </w:r>
      <w:r>
        <w:rPr>
          <w:rStyle w:val="10"/>
          <w:rFonts w:hint="default" w:ascii="Times New Roman" w:hAnsi="Times New Roman" w:eastAsia="宋体"/>
          <w:color w:val="000000"/>
          <w:sz w:val="20"/>
          <w:szCs w:val="20"/>
        </w:rPr>
        <w:t>、单位是</w:t>
      </w:r>
      <w:r>
        <w:rPr>
          <w:rStyle w:val="9"/>
          <w:rFonts w:hint="default" w:ascii="Times New Roman" w:hAnsi="Times New Roman" w:eastAsia="宋体"/>
          <w:color w:val="000000"/>
          <w:sz w:val="20"/>
          <w:szCs w:val="20"/>
        </w:rPr>
        <w:t>“</w:t>
      </w:r>
      <w:r>
        <w:rPr>
          <w:rStyle w:val="10"/>
          <w:rFonts w:hint="default" w:ascii="Times New Roman" w:hAnsi="Times New Roman" w:eastAsia="宋体"/>
          <w:color w:val="000000"/>
          <w:sz w:val="20"/>
          <w:szCs w:val="20"/>
        </w:rPr>
        <w:t>副</w:t>
      </w:r>
      <w:r>
        <w:rPr>
          <w:rStyle w:val="9"/>
          <w:rFonts w:hint="default" w:ascii="Times New Roman" w:hAnsi="Times New Roman" w:eastAsia="宋体"/>
          <w:color w:val="000000"/>
          <w:sz w:val="20"/>
          <w:szCs w:val="20"/>
        </w:rPr>
        <w:t>”</w:t>
      </w:r>
      <w:r>
        <w:rPr>
          <w:rStyle w:val="10"/>
          <w:rFonts w:hint="default" w:ascii="Times New Roman" w:hAnsi="Times New Roman" w:eastAsia="宋体"/>
          <w:color w:val="000000"/>
          <w:sz w:val="20"/>
          <w:szCs w:val="20"/>
        </w:rPr>
        <w:t>的，是指左右两边，如</w:t>
      </w:r>
      <w:r>
        <w:rPr>
          <w:rStyle w:val="9"/>
          <w:rFonts w:hint="default" w:ascii="Times New Roman" w:hAnsi="Times New Roman" w:eastAsia="宋体"/>
          <w:color w:val="000000"/>
          <w:sz w:val="20"/>
          <w:szCs w:val="20"/>
        </w:rPr>
        <w:t>1</w:t>
      </w:r>
      <w:r>
        <w:rPr>
          <w:rStyle w:val="10"/>
          <w:rFonts w:hint="default" w:ascii="Times New Roman" w:hAnsi="Times New Roman" w:eastAsia="宋体"/>
          <w:color w:val="000000"/>
          <w:sz w:val="20"/>
          <w:szCs w:val="20"/>
        </w:rPr>
        <w:t>副</w:t>
      </w:r>
      <w:r>
        <w:rPr>
          <w:rStyle w:val="9"/>
          <w:rFonts w:hint="default" w:ascii="Times New Roman" w:hAnsi="Times New Roman" w:eastAsia="宋体"/>
          <w:color w:val="000000"/>
          <w:sz w:val="20"/>
          <w:szCs w:val="20"/>
        </w:rPr>
        <w:t>“</w:t>
      </w:r>
      <w:r>
        <w:rPr>
          <w:rStyle w:val="10"/>
          <w:rFonts w:hint="default" w:ascii="Times New Roman" w:hAnsi="Times New Roman" w:eastAsia="宋体"/>
          <w:color w:val="000000"/>
          <w:sz w:val="20"/>
          <w:szCs w:val="20"/>
        </w:rPr>
        <w:t>腋拐</w:t>
      </w:r>
      <w:r>
        <w:rPr>
          <w:rStyle w:val="9"/>
          <w:rFonts w:hint="default" w:ascii="Times New Roman" w:hAnsi="Times New Roman" w:eastAsia="宋体"/>
          <w:color w:val="000000"/>
          <w:sz w:val="20"/>
          <w:szCs w:val="20"/>
        </w:rPr>
        <w:t>”</w:t>
      </w:r>
      <w:r>
        <w:rPr>
          <w:rStyle w:val="10"/>
          <w:rFonts w:hint="default" w:ascii="Times New Roman" w:hAnsi="Times New Roman" w:eastAsia="宋体"/>
          <w:color w:val="000000"/>
          <w:sz w:val="20"/>
          <w:szCs w:val="20"/>
        </w:rPr>
        <w:t>，按</w:t>
      </w:r>
      <w:r>
        <w:rPr>
          <w:rStyle w:val="9"/>
          <w:rFonts w:hint="default" w:ascii="Times New Roman" w:hAnsi="Times New Roman" w:eastAsia="宋体"/>
          <w:color w:val="000000"/>
          <w:sz w:val="20"/>
          <w:szCs w:val="20"/>
        </w:rPr>
        <w:t>1</w:t>
      </w:r>
      <w:r>
        <w:rPr>
          <w:rStyle w:val="10"/>
          <w:rFonts w:hint="default" w:ascii="Times New Roman" w:hAnsi="Times New Roman" w:eastAsia="宋体"/>
          <w:color w:val="000000"/>
          <w:sz w:val="20"/>
          <w:szCs w:val="20"/>
        </w:rPr>
        <w:t>件计；单位为</w:t>
      </w:r>
      <w:r>
        <w:rPr>
          <w:rStyle w:val="9"/>
          <w:rFonts w:hint="default" w:ascii="Times New Roman" w:hAnsi="Times New Roman" w:eastAsia="宋体"/>
          <w:color w:val="000000"/>
          <w:sz w:val="20"/>
          <w:szCs w:val="20"/>
        </w:rPr>
        <w:t>“</w:t>
      </w:r>
      <w:r>
        <w:rPr>
          <w:rStyle w:val="10"/>
          <w:rFonts w:hint="default" w:ascii="Times New Roman" w:hAnsi="Times New Roman" w:eastAsia="宋体"/>
          <w:color w:val="000000"/>
          <w:sz w:val="20"/>
          <w:szCs w:val="20"/>
        </w:rPr>
        <w:t>例</w:t>
      </w:r>
      <w:r>
        <w:rPr>
          <w:rStyle w:val="9"/>
          <w:rFonts w:hint="default" w:ascii="Times New Roman" w:hAnsi="Times New Roman" w:eastAsia="宋体"/>
          <w:color w:val="000000"/>
          <w:sz w:val="20"/>
          <w:szCs w:val="20"/>
        </w:rPr>
        <w:t>”</w:t>
      </w:r>
      <w:r>
        <w:rPr>
          <w:rStyle w:val="10"/>
          <w:rFonts w:hint="default" w:ascii="Times New Roman" w:hAnsi="Times New Roman" w:eastAsia="宋体"/>
          <w:color w:val="000000"/>
          <w:sz w:val="20"/>
          <w:szCs w:val="20"/>
        </w:rPr>
        <w:t>的，是指单边，按</w:t>
      </w:r>
      <w:r>
        <w:rPr>
          <w:rStyle w:val="9"/>
          <w:rFonts w:hint="default" w:ascii="Times New Roman" w:hAnsi="Times New Roman" w:eastAsia="宋体"/>
          <w:color w:val="000000"/>
          <w:sz w:val="20"/>
          <w:szCs w:val="20"/>
        </w:rPr>
        <w:t>1</w:t>
      </w:r>
      <w:r>
        <w:rPr>
          <w:rStyle w:val="10"/>
          <w:rFonts w:hint="default" w:ascii="Times New Roman" w:hAnsi="Times New Roman" w:eastAsia="宋体"/>
          <w:color w:val="000000"/>
          <w:sz w:val="20"/>
          <w:szCs w:val="20"/>
        </w:rPr>
        <w:t>件计。</w:t>
      </w:r>
    </w:p>
    <w:p>
      <w:pPr>
        <w:pStyle w:val="5"/>
        <w:ind w:left="210" w:firstLineChars="100"/>
        <w:rPr>
          <w:rStyle w:val="10"/>
          <w:rFonts w:hint="default" w:ascii="宋体" w:hAnsi="宋体" w:eastAsia="宋体"/>
          <w:color w:val="000000"/>
          <w:sz w:val="20"/>
          <w:szCs w:val="20"/>
        </w:rPr>
      </w:pPr>
      <w:r>
        <w:rPr>
          <w:rFonts w:hint="default" w:ascii="Times New Roman" w:hAnsi="Times New Roman" w:eastAsia="宋体"/>
          <w:color w:val="000000"/>
          <w:sz w:val="20"/>
          <w:szCs w:val="20"/>
        </w:rPr>
        <w:t>2、本目录无特殊说明，辅助器具适用对象中包括残疾儿童少年。</w:t>
      </w:r>
    </w:p>
    <w:p>
      <w:pPr>
        <w:pStyle w:val="5"/>
        <w:ind w:left="210" w:firstLineChars="100"/>
        <w:rPr>
          <w:rStyle w:val="10"/>
          <w:rFonts w:hint="default" w:ascii="Times New Roman" w:hAnsi="Times New Roman" w:eastAsia="宋体"/>
          <w:color w:val="000000"/>
          <w:sz w:val="20"/>
          <w:szCs w:val="20"/>
        </w:rPr>
      </w:pPr>
      <w:r>
        <w:rPr>
          <w:rFonts w:hint="default" w:ascii="Times New Roman" w:hAnsi="Times New Roman" w:eastAsia="宋体"/>
          <w:color w:val="000000"/>
          <w:sz w:val="20"/>
          <w:szCs w:val="20"/>
        </w:rPr>
        <w:t>3</w:t>
      </w:r>
      <w:r>
        <w:rPr>
          <w:rStyle w:val="10"/>
          <w:rFonts w:hint="default" w:ascii="Times New Roman" w:hAnsi="Times New Roman" w:eastAsia="宋体"/>
          <w:color w:val="000000"/>
          <w:sz w:val="20"/>
          <w:szCs w:val="20"/>
        </w:rPr>
        <w:t>、评估级别中，县级评估涵盖初级评估。</w:t>
      </w:r>
      <w: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NEU-BZ">
    <w:altName w:val="宋体"/>
    <w:panose1 w:val="02010600010101010101"/>
    <w:charset w:val="86"/>
    <w:family w:val="script"/>
    <w:pitch w:val="default"/>
    <w:sig w:usb0="00000000" w:usb1="00000000" w:usb2="000A005E" w:usb3="00000000" w:csb0="003C0041" w:csb1="00000000"/>
  </w:font>
  <w:font w:name="方正黑体_GBK">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NjBiNzIzZTAwYzBiMzJkN2ZmYmVmN2IxYTYyMjUifQ=="/>
  </w:docVars>
  <w:rsids>
    <w:rsidRoot w:val="00000000"/>
    <w:rsid w:val="0F1A517D"/>
    <w:rsid w:val="2653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Ansi="NEU-BZ" w:asciiTheme="minorHAnsi" w:eastAsiaTheme="minorEastAsia"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eb)_wrd"/>
    <w:basedOn w:val="5"/>
    <w:uiPriority w:val="0"/>
    <w:pPr>
      <w:spacing w:before="100" w:after="100"/>
    </w:pPr>
  </w:style>
  <w:style w:type="paragraph" w:customStyle="1" w:styleId="5">
    <w:name w:val="Normal_wrd4"/>
    <w:basedOn w:val="6"/>
    <w:uiPriority w:val="0"/>
  </w:style>
  <w:style w:type="paragraph" w:customStyle="1" w:styleId="6">
    <w:name w:val="[系统文字]"/>
    <w:uiPriority w:val="0"/>
    <w:pPr>
      <w:spacing w:before="0" w:after="0"/>
      <w:ind w:left="0" w:right="0" w:firstLine="0" w:firstLineChars="0"/>
      <w:jc w:val="both"/>
    </w:pPr>
    <w:rPr>
      <w:rFonts w:hAnsi="NEU-BZ" w:asciiTheme="minorHAnsi" w:eastAsiaTheme="minorEastAsia" w:cstheme="minorBidi"/>
      <w:sz w:val="22"/>
      <w:szCs w:val="22"/>
      <w:lang w:val="en-US" w:eastAsia="zh-CN" w:bidi="ar-SA"/>
    </w:rPr>
  </w:style>
  <w:style w:type="character" w:customStyle="1" w:styleId="7">
    <w:name w:val="font101"/>
    <w:basedOn w:val="3"/>
    <w:uiPriority w:val="0"/>
    <w:rPr>
      <w:rFonts w:hint="default" w:ascii="宋体" w:hAnsi="宋体" w:eastAsia="宋体"/>
      <w:sz w:val="22"/>
      <w:szCs w:val="22"/>
    </w:rPr>
  </w:style>
  <w:style w:type="character" w:customStyle="1" w:styleId="8">
    <w:name w:val="font141"/>
    <w:basedOn w:val="3"/>
    <w:qFormat/>
    <w:uiPriority w:val="0"/>
    <w:rPr>
      <w:rFonts w:hint="default" w:ascii="Times New Roman" w:hAnsi="Times New Roman"/>
      <w:sz w:val="22"/>
      <w:szCs w:val="22"/>
    </w:rPr>
  </w:style>
  <w:style w:type="character" w:customStyle="1" w:styleId="9">
    <w:name w:val="font112"/>
    <w:basedOn w:val="3"/>
    <w:uiPriority w:val="0"/>
    <w:rPr>
      <w:rFonts w:hint="default" w:ascii="Times New Roman" w:hAnsi="Times New Roman"/>
      <w:sz w:val="24"/>
      <w:szCs w:val="24"/>
    </w:rPr>
  </w:style>
  <w:style w:type="character" w:customStyle="1" w:styleId="10">
    <w:name w:val="font131"/>
    <w:basedOn w:val="3"/>
    <w:uiPriority w:val="0"/>
    <w:rPr>
      <w:rFonts w:hint="default" w:ascii="宋体" w:hAnsi="宋体" w:eastAsia="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2022-10-17T01:59:00Z</dcterms:created>
  <dc:creator>39301</dc:creator>
  <cp:lastModifiedBy>A-yannis</cp:lastModifiedBy>
  <dcterms:modified xsi:type="dcterms:W3CDTF">2022-11-11T02:18:41Z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130A6A1389A14E3489F0D77444DB0E29</vt:lpwstr>
  </property>
</Properties>
</file>