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hd w:val="clear" w:color="000000" w:fill="FFFFFF"/>
        <w:autoSpaceDE/>
        <w:autoSpaceDN/>
        <w:spacing w:before="0" w:after="0" w:line="560" w:lineRule="exact"/>
        <w:ind w:right="0" w:firstLine="0"/>
        <w:jc w:val="center"/>
        <w:rPr>
          <w:rFonts w:hint="default" w:ascii="华文中宋" w:hAnsi="Times New Roman" w:eastAsia="Times New Roman"/>
          <w:color w:val="000000"/>
          <w:position w:val="0"/>
          <w:sz w:val="21"/>
          <w:szCs w:val="21"/>
        </w:rPr>
      </w:pPr>
      <w:r>
        <w:rPr>
          <w:rFonts w:hint="default" w:ascii="华文中宋" w:hAnsi="华文中宋" w:eastAsia="华文中宋"/>
          <w:color w:val="000000"/>
          <w:position w:val="0"/>
          <w:sz w:val="44"/>
          <w:szCs w:val="44"/>
        </w:rPr>
        <w:t>天心区残疾人联合会</w:t>
      </w:r>
    </w:p>
    <w:p>
      <w:pPr>
        <w:numPr>
          <w:ilvl w:val="0"/>
          <w:numId w:val="0"/>
        </w:numPr>
        <w:shd w:val="clear" w:color="000000" w:fill="FFFFFF"/>
        <w:autoSpaceDE/>
        <w:autoSpaceDN/>
        <w:spacing w:before="0" w:after="0" w:line="560" w:lineRule="exact"/>
        <w:ind w:right="0" w:firstLine="0"/>
        <w:jc w:val="center"/>
        <w:rPr>
          <w:rFonts w:hint="default" w:ascii="华文中宋" w:hAnsi="Times New Roman" w:eastAsia="Times New Roman"/>
          <w:color w:val="000000"/>
          <w:position w:val="0"/>
          <w:sz w:val="21"/>
          <w:szCs w:val="21"/>
        </w:rPr>
      </w:pPr>
      <w:r>
        <w:rPr>
          <w:rFonts w:hint="default" w:ascii="华文中宋" w:hAnsi="华文中宋" w:eastAsia="华文中宋"/>
          <w:color w:val="000000"/>
          <w:position w:val="0"/>
          <w:sz w:val="44"/>
          <w:szCs w:val="44"/>
        </w:rPr>
        <w:t>2018年度政府信息公开工作年度报告</w:t>
      </w:r>
    </w:p>
    <w:p>
      <w:pPr>
        <w:numPr>
          <w:ilvl w:val="0"/>
          <w:numId w:val="0"/>
        </w:numPr>
        <w:shd w:val="clear" w:color="000000" w:fill="FFFFFF"/>
        <w:autoSpaceDE/>
        <w:autoSpaceDN/>
        <w:spacing w:before="0" w:after="0" w:line="360" w:lineRule="atLeast"/>
        <w:ind w:right="0" w:firstLine="0"/>
        <w:jc w:val="center"/>
        <w:rPr>
          <w:rFonts w:hint="default" w:ascii="Times New Roman" w:hAnsi="Times New Roman" w:eastAsia="Times New Roman"/>
          <w:color w:val="000000"/>
          <w:position w:val="0"/>
          <w:sz w:val="21"/>
          <w:szCs w:val="21"/>
        </w:rPr>
      </w:pPr>
      <w:r>
        <w:rPr>
          <w:rFonts w:hint="default" w:ascii="方正小标宋简体" w:hAnsi="方正小标宋简体" w:eastAsia="方正小标宋简体"/>
          <w:color w:val="000000"/>
          <w:position w:val="0"/>
          <w:sz w:val="44"/>
          <w:szCs w:val="44"/>
        </w:rPr>
        <w:t> </w:t>
      </w:r>
    </w:p>
    <w:p>
      <w:pPr>
        <w:numPr>
          <w:ilvl w:val="0"/>
          <w:numId w:val="0"/>
        </w:numPr>
        <w:shd w:val="clear" w:color="000000" w:fill="FFFFFF"/>
        <w:autoSpaceDE/>
        <w:autoSpaceDN/>
        <w:spacing w:before="0" w:after="0" w:line="560" w:lineRule="exact"/>
        <w:ind w:right="0" w:firstLine="640"/>
        <w:jc w:val="both"/>
        <w:rPr>
          <w:rFonts w:hint="default" w:ascii="仿宋_GB2312" w:hAnsi="仿宋_GB2312" w:eastAsia="仿宋_GB2312"/>
          <w:color w:val="auto"/>
          <w:position w:val="0"/>
          <w:sz w:val="32"/>
          <w:szCs w:val="32"/>
        </w:rPr>
      </w:pPr>
      <w:r>
        <w:rPr>
          <w:rFonts w:hint="default" w:ascii="仿宋_GB2312" w:hAnsi="仿宋_GB2312" w:eastAsia="仿宋_GB2312"/>
          <w:color w:val="000000"/>
          <w:position w:val="0"/>
          <w:sz w:val="30"/>
          <w:szCs w:val="30"/>
        </w:rPr>
        <w:t>2018年，</w:t>
      </w:r>
      <w:r>
        <w:rPr>
          <w:rFonts w:hint="eastAsia" w:ascii="仿宋_GB2312" w:hAnsi="仿宋_GB2312" w:eastAsia="仿宋_GB2312"/>
          <w:color w:val="000000"/>
          <w:position w:val="0"/>
          <w:sz w:val="30"/>
          <w:szCs w:val="30"/>
          <w:lang w:eastAsia="zh-CN"/>
        </w:rPr>
        <w:t>天心</w:t>
      </w:r>
      <w:r>
        <w:rPr>
          <w:rFonts w:hint="default" w:ascii="仿宋_GB2312" w:hAnsi="仿宋_GB2312" w:eastAsia="仿宋_GB2312"/>
          <w:color w:val="000000"/>
          <w:position w:val="0"/>
          <w:sz w:val="30"/>
          <w:szCs w:val="30"/>
        </w:rPr>
        <w:t>区残联根据</w:t>
      </w:r>
      <w:r>
        <w:rPr>
          <w:rFonts w:hint="eastAsia" w:ascii="仿宋_GB2312" w:hAnsi="仿宋_GB2312" w:eastAsia="仿宋_GB2312"/>
          <w:color w:val="000000"/>
          <w:position w:val="0"/>
          <w:sz w:val="30"/>
          <w:szCs w:val="30"/>
          <w:lang w:eastAsia="zh-CN"/>
        </w:rPr>
        <w:t>天心</w:t>
      </w:r>
      <w:r>
        <w:rPr>
          <w:rFonts w:hint="default" w:ascii="仿宋_GB2312" w:hAnsi="仿宋_GB2312" w:eastAsia="仿宋_GB2312"/>
          <w:color w:val="000000"/>
          <w:position w:val="0"/>
          <w:sz w:val="30"/>
          <w:szCs w:val="30"/>
        </w:rPr>
        <w:t>区政务中心要求做好2018年政府信息公开年度报告编制和公开工作的要求，依法及时公开区残疾人工作政务信息，政府信息公开工作稳步有序推进，现将2018年工作具体情况报告如下：</w:t>
      </w:r>
      <w:r>
        <w:rPr>
          <w:rFonts w:hint="default" w:ascii="仿宋_GB2312" w:hAnsi="仿宋_GB2312" w:eastAsia="仿宋_GB2312"/>
          <w:color w:val="auto"/>
          <w:position w:val="0"/>
          <w:sz w:val="32"/>
          <w:szCs w:val="32"/>
        </w:rPr>
        <w:t>本报告中所列数据的统计期限自2018年1月1日起至2018年12月31日止。</w:t>
      </w:r>
    </w:p>
    <w:p>
      <w:pPr>
        <w:numPr>
          <w:ilvl w:val="0"/>
          <w:numId w:val="0"/>
        </w:numPr>
        <w:autoSpaceDE/>
        <w:autoSpaceDN/>
        <w:spacing w:before="0" w:after="0" w:line="560" w:lineRule="exact"/>
        <w:ind w:right="0" w:firstLine="640"/>
        <w:jc w:val="both"/>
        <w:rPr>
          <w:rFonts w:hint="default" w:ascii="宋体" w:hAnsi="宋体" w:eastAsia="宋体"/>
          <w:color w:val="auto"/>
          <w:position w:val="0"/>
          <w:sz w:val="30"/>
          <w:szCs w:val="30"/>
        </w:rPr>
      </w:pPr>
      <w:r>
        <w:rPr>
          <w:rFonts w:hint="default" w:ascii="黑体" w:hAnsi="黑体" w:eastAsia="黑体"/>
          <w:color w:val="auto"/>
          <w:position w:val="0"/>
          <w:sz w:val="30"/>
          <w:szCs w:val="30"/>
        </w:rPr>
        <w:t>一、信息公开工作概述</w:t>
      </w:r>
    </w:p>
    <w:p>
      <w:pPr>
        <w:numPr>
          <w:ilvl w:val="0"/>
          <w:numId w:val="0"/>
        </w:numPr>
        <w:autoSpaceDE/>
        <w:autoSpaceDN/>
        <w:spacing w:before="0" w:after="0" w:line="560" w:lineRule="exact"/>
        <w:ind w:right="0" w:firstLine="640"/>
        <w:jc w:val="both"/>
        <w:rPr>
          <w:rFonts w:hint="default" w:ascii="宋体" w:hAnsi="宋体" w:eastAsia="宋体"/>
          <w:color w:val="auto"/>
          <w:position w:val="0"/>
          <w:sz w:val="30"/>
          <w:szCs w:val="30"/>
        </w:rPr>
      </w:pPr>
      <w:r>
        <w:rPr>
          <w:rFonts w:hint="eastAsia" w:ascii="仿宋_GB2312" w:hAnsi="仿宋_GB2312" w:eastAsia="仿宋_GB2312"/>
          <w:color w:val="auto"/>
          <w:position w:val="0"/>
          <w:sz w:val="30"/>
          <w:szCs w:val="30"/>
          <w:lang w:eastAsia="zh-CN"/>
        </w:rPr>
        <w:t>天心</w:t>
      </w:r>
      <w:r>
        <w:rPr>
          <w:rFonts w:hint="default" w:ascii="仿宋_GB2312" w:hAnsi="仿宋_GB2312" w:eastAsia="仿宋_GB2312"/>
          <w:color w:val="auto"/>
          <w:position w:val="0"/>
          <w:sz w:val="30"/>
          <w:szCs w:val="30"/>
        </w:rPr>
        <w:t>区残联严格执行《中华人民共和国政府信息公开条例》，认真学习贯彻落实《中华人民共和国残疾人保障法》，按照年初制定的工作计划和上级有关信息公开的要求，坚持便民利民、公开公正、依法行政的原则，认真履行职责，各项工作取得了明显成效。</w:t>
      </w:r>
    </w:p>
    <w:p>
      <w:pPr>
        <w:numPr>
          <w:ilvl w:val="0"/>
          <w:numId w:val="0"/>
        </w:numPr>
        <w:autoSpaceDE/>
        <w:autoSpaceDN/>
        <w:spacing w:before="0" w:after="0" w:line="560" w:lineRule="exact"/>
        <w:ind w:right="0" w:firstLine="630"/>
        <w:jc w:val="both"/>
        <w:rPr>
          <w:rFonts w:hint="default" w:ascii="宋体" w:hAnsi="宋体" w:eastAsia="宋体"/>
          <w:color w:val="auto"/>
          <w:position w:val="0"/>
          <w:sz w:val="30"/>
          <w:szCs w:val="30"/>
        </w:rPr>
      </w:pPr>
      <w:r>
        <w:rPr>
          <w:rFonts w:hint="default" w:ascii="楷体_GB2312" w:hAnsi="楷体_GB2312" w:eastAsia="楷体_GB2312"/>
          <w:b/>
          <w:color w:val="auto"/>
          <w:position w:val="0"/>
          <w:sz w:val="30"/>
          <w:szCs w:val="30"/>
        </w:rPr>
        <w:t>（一）加强领导，落实责任，为做好信息公开工作奠定坚实的基础</w:t>
      </w:r>
    </w:p>
    <w:p>
      <w:pPr>
        <w:numPr>
          <w:ilvl w:val="0"/>
          <w:numId w:val="0"/>
        </w:numPr>
        <w:autoSpaceDE/>
        <w:autoSpaceDN/>
        <w:spacing w:before="0" w:after="0" w:line="560" w:lineRule="exact"/>
        <w:ind w:right="0" w:firstLine="640"/>
        <w:jc w:val="both"/>
        <w:rPr>
          <w:rFonts w:hint="default" w:ascii="仿宋_GB2312" w:hAnsi="仿宋_GB2312" w:eastAsia="仿宋_GB2312"/>
          <w:color w:val="000000"/>
          <w:position w:val="0"/>
          <w:sz w:val="32"/>
          <w:szCs w:val="32"/>
        </w:rPr>
      </w:pPr>
      <w:r>
        <w:rPr>
          <w:rFonts w:hint="default" w:ascii="仿宋_GB2312" w:hAnsi="仿宋_GB2312" w:eastAsia="仿宋_GB2312"/>
          <w:color w:val="auto"/>
          <w:position w:val="0"/>
          <w:sz w:val="30"/>
          <w:szCs w:val="30"/>
        </w:rPr>
        <w:t>为保证政府信息公开工作有效实施，</w:t>
      </w:r>
      <w:r>
        <w:rPr>
          <w:rFonts w:hint="eastAsia" w:ascii="仿宋_GB2312" w:hAnsi="仿宋_GB2312" w:eastAsia="仿宋_GB2312"/>
          <w:color w:val="auto"/>
          <w:position w:val="0"/>
          <w:sz w:val="30"/>
          <w:szCs w:val="30"/>
          <w:lang w:eastAsia="zh-CN"/>
        </w:rPr>
        <w:t>天心</w:t>
      </w:r>
      <w:r>
        <w:rPr>
          <w:rFonts w:hint="default" w:ascii="仿宋_GB2312" w:hAnsi="仿宋_GB2312" w:eastAsia="仿宋_GB2312"/>
          <w:color w:val="auto"/>
          <w:position w:val="0"/>
          <w:sz w:val="30"/>
          <w:szCs w:val="30"/>
        </w:rPr>
        <w:t>区残联认真加强领导组织建设，把政府信息公开工作列入重要议事日程，理事长会议专题研究</w:t>
      </w:r>
      <w:r>
        <w:rPr>
          <w:rFonts w:hint="eastAsia" w:ascii="仿宋_GB2312" w:hAnsi="仿宋_GB2312" w:eastAsia="仿宋_GB2312"/>
          <w:color w:val="auto"/>
          <w:position w:val="0"/>
          <w:sz w:val="30"/>
          <w:szCs w:val="30"/>
          <w:lang w:eastAsia="zh-CN"/>
        </w:rPr>
        <w:t>区残联</w:t>
      </w:r>
      <w:r>
        <w:rPr>
          <w:rFonts w:hint="default" w:ascii="仿宋_GB2312" w:hAnsi="仿宋_GB2312" w:eastAsia="仿宋_GB2312"/>
          <w:color w:val="auto"/>
          <w:position w:val="0"/>
          <w:sz w:val="30"/>
          <w:szCs w:val="30"/>
        </w:rPr>
        <w:t>政府信息公开工作，成立了由理事长为组长、分管副理事长为副组长的政府信息公开工作领导小组，办公室牵头并明确专人负责政府信息公开的日常工作，不定期召开领导小组会议研究政务公开工作，及时收集政务公开的意见和建议，不断改进政务公开工作，从而使</w:t>
      </w:r>
      <w:r>
        <w:rPr>
          <w:rFonts w:hint="eastAsia" w:ascii="仿宋_GB2312" w:hAnsi="仿宋_GB2312" w:eastAsia="仿宋_GB2312"/>
          <w:color w:val="auto"/>
          <w:position w:val="0"/>
          <w:sz w:val="30"/>
          <w:szCs w:val="30"/>
          <w:lang w:eastAsia="zh-CN"/>
        </w:rPr>
        <w:t>残联</w:t>
      </w:r>
      <w:r>
        <w:rPr>
          <w:rFonts w:hint="default" w:ascii="仿宋_GB2312" w:hAnsi="仿宋_GB2312" w:eastAsia="仿宋_GB2312"/>
          <w:color w:val="auto"/>
          <w:position w:val="0"/>
          <w:sz w:val="30"/>
          <w:szCs w:val="30"/>
        </w:rPr>
        <w:t>政府信息公开工作做到了有领导分管、有工作机构负责、有专人承办，</w:t>
      </w:r>
      <w:r>
        <w:rPr>
          <w:rFonts w:hint="default" w:ascii="仿宋_GB2312" w:hAnsi="仿宋_GB2312" w:eastAsia="仿宋_GB2312"/>
          <w:color w:val="000000"/>
          <w:position w:val="0"/>
          <w:sz w:val="32"/>
          <w:szCs w:val="32"/>
        </w:rPr>
        <w:t>形成了有人抓、有人管、有人负责的工作格局，进一步增强了政府信息公开工作的责任感，提升了政府信息公开工作的领导水平，确保政府信息公开工作的有效落实。</w:t>
      </w:r>
    </w:p>
    <w:p>
      <w:pPr>
        <w:numPr>
          <w:ilvl w:val="0"/>
          <w:numId w:val="0"/>
        </w:numPr>
        <w:autoSpaceDE/>
        <w:autoSpaceDN/>
        <w:spacing w:before="0" w:after="0" w:line="560" w:lineRule="exact"/>
        <w:ind w:right="0" w:firstLine="630"/>
        <w:jc w:val="both"/>
        <w:rPr>
          <w:rFonts w:hint="default" w:ascii="宋体" w:hAnsi="宋体" w:eastAsia="宋体"/>
          <w:color w:val="auto"/>
          <w:position w:val="0"/>
          <w:sz w:val="30"/>
          <w:szCs w:val="30"/>
        </w:rPr>
      </w:pPr>
      <w:r>
        <w:rPr>
          <w:rFonts w:hint="default" w:ascii="楷体_GB2312" w:hAnsi="楷体_GB2312" w:eastAsia="楷体_GB2312"/>
          <w:b/>
          <w:color w:val="auto"/>
          <w:position w:val="0"/>
          <w:sz w:val="30"/>
          <w:szCs w:val="30"/>
        </w:rPr>
        <w:t>（二）强化措施，健全制度，全面推进信息公开工作顺利开展</w:t>
      </w:r>
    </w:p>
    <w:p>
      <w:pPr>
        <w:numPr>
          <w:ilvl w:val="0"/>
          <w:numId w:val="0"/>
        </w:numPr>
        <w:autoSpaceDE/>
        <w:autoSpaceDN/>
        <w:spacing w:before="0" w:after="0" w:line="560" w:lineRule="exact"/>
        <w:ind w:right="0" w:firstLine="640"/>
        <w:jc w:val="both"/>
        <w:rPr>
          <w:rFonts w:hint="default" w:ascii="宋体" w:hAnsi="宋体" w:eastAsia="宋体"/>
          <w:color w:val="auto"/>
          <w:position w:val="0"/>
          <w:sz w:val="30"/>
          <w:szCs w:val="30"/>
        </w:rPr>
      </w:pPr>
      <w:r>
        <w:rPr>
          <w:rFonts w:hint="default" w:ascii="仿宋_GB2312" w:hAnsi="仿宋_GB2312" w:eastAsia="仿宋_GB2312"/>
          <w:color w:val="auto"/>
          <w:position w:val="0"/>
          <w:sz w:val="30"/>
          <w:szCs w:val="30"/>
        </w:rPr>
        <w:t>按照区委、区政府的统一部署和要求，</w:t>
      </w:r>
      <w:r>
        <w:rPr>
          <w:rFonts w:hint="eastAsia" w:ascii="仿宋_GB2312" w:hAnsi="仿宋_GB2312" w:eastAsia="仿宋_GB2312"/>
          <w:color w:val="auto"/>
          <w:position w:val="0"/>
          <w:sz w:val="30"/>
          <w:szCs w:val="30"/>
          <w:lang w:eastAsia="zh-CN"/>
        </w:rPr>
        <w:t>天心区残联</w:t>
      </w:r>
      <w:r>
        <w:rPr>
          <w:rFonts w:hint="default" w:ascii="仿宋_GB2312" w:hAnsi="仿宋_GB2312" w:eastAsia="仿宋_GB2312"/>
          <w:color w:val="auto"/>
          <w:position w:val="0"/>
          <w:sz w:val="30"/>
          <w:szCs w:val="30"/>
        </w:rPr>
        <w:t>进一步完善信息公开渠道，通过网站等形式将现行有效的政策法规文件、工作动态等予以公开，取得了显著成效，受到了社会各界的一致好评。</w:t>
      </w:r>
    </w:p>
    <w:p>
      <w:pPr>
        <w:numPr>
          <w:ilvl w:val="0"/>
          <w:numId w:val="0"/>
        </w:numPr>
        <w:autoSpaceDE/>
        <w:autoSpaceDN/>
        <w:spacing w:before="0" w:after="0" w:line="560" w:lineRule="exact"/>
        <w:ind w:right="0" w:firstLine="640"/>
        <w:jc w:val="both"/>
        <w:rPr>
          <w:rFonts w:hint="default" w:ascii="宋体" w:hAnsi="宋体" w:eastAsia="宋体"/>
          <w:color w:val="auto"/>
          <w:position w:val="0"/>
          <w:sz w:val="30"/>
          <w:szCs w:val="30"/>
        </w:rPr>
      </w:pPr>
      <w:r>
        <w:rPr>
          <w:rFonts w:hint="default" w:ascii="仿宋_GB2312" w:hAnsi="仿宋_GB2312" w:eastAsia="仿宋_GB2312"/>
          <w:color w:val="auto"/>
          <w:position w:val="0"/>
          <w:sz w:val="30"/>
          <w:szCs w:val="30"/>
        </w:rPr>
        <w:t>1、对行政项目进行公开。按照要求，把涉及残疾人工作对照法律、法规、规章，结合实际，精心研究，确定了具体标准，做到分类清晰，编排科学，通过区残联网站将有关文件标准对外公开。经过梳理和科学编排，区残联将残疾人证办理公开公示。有具体经办人负责落实到位。</w:t>
      </w:r>
    </w:p>
    <w:p>
      <w:pPr>
        <w:numPr>
          <w:ilvl w:val="0"/>
          <w:numId w:val="0"/>
        </w:numPr>
        <w:autoSpaceDE/>
        <w:autoSpaceDN/>
        <w:spacing w:before="0" w:after="0" w:line="560" w:lineRule="exact"/>
        <w:ind w:right="0" w:firstLine="640"/>
        <w:jc w:val="both"/>
        <w:rPr>
          <w:rFonts w:hint="default" w:ascii="宋体" w:hAnsi="宋体" w:eastAsia="宋体"/>
          <w:color w:val="auto"/>
          <w:position w:val="0"/>
          <w:sz w:val="30"/>
          <w:szCs w:val="30"/>
        </w:rPr>
      </w:pPr>
      <w:r>
        <w:rPr>
          <w:rFonts w:hint="default" w:ascii="仿宋_GB2312" w:hAnsi="仿宋_GB2312" w:eastAsia="仿宋_GB2312"/>
          <w:color w:val="auto"/>
          <w:position w:val="0"/>
          <w:sz w:val="30"/>
          <w:szCs w:val="30"/>
        </w:rPr>
        <w:t>2、始终坚持政务信息公开。区残联在网站上设立了组织机构，公布了各业务线的职责范围，理顺了工作渠道，增强了工作的透明度，极大方便了残疾人。</w:t>
      </w:r>
    </w:p>
    <w:p>
      <w:pPr>
        <w:numPr>
          <w:ilvl w:val="0"/>
          <w:numId w:val="0"/>
        </w:numPr>
        <w:autoSpaceDE/>
        <w:autoSpaceDN/>
        <w:spacing w:before="0" w:after="0" w:line="560" w:lineRule="exact"/>
        <w:ind w:right="0" w:firstLine="640"/>
        <w:jc w:val="both"/>
        <w:rPr>
          <w:rFonts w:hint="default" w:ascii="宋体" w:hAnsi="宋体" w:eastAsia="宋体"/>
          <w:color w:val="auto"/>
          <w:position w:val="0"/>
          <w:sz w:val="30"/>
          <w:szCs w:val="30"/>
        </w:rPr>
      </w:pPr>
      <w:r>
        <w:rPr>
          <w:rFonts w:hint="default" w:ascii="黑体" w:hAnsi="黑体" w:eastAsia="黑体"/>
          <w:color w:val="auto"/>
          <w:position w:val="0"/>
          <w:sz w:val="30"/>
          <w:szCs w:val="30"/>
        </w:rPr>
        <w:t>二、主动公开政府信息情况</w:t>
      </w:r>
    </w:p>
    <w:p>
      <w:pPr>
        <w:numPr>
          <w:ilvl w:val="0"/>
          <w:numId w:val="0"/>
        </w:numPr>
        <w:autoSpaceDE/>
        <w:autoSpaceDN/>
        <w:spacing w:before="0" w:after="0" w:line="560" w:lineRule="exact"/>
        <w:ind w:right="0" w:firstLine="640"/>
        <w:jc w:val="both"/>
        <w:rPr>
          <w:rFonts w:hint="default" w:ascii="宋体" w:hAnsi="宋体" w:eastAsia="宋体"/>
          <w:color w:val="auto"/>
          <w:position w:val="0"/>
          <w:sz w:val="30"/>
          <w:szCs w:val="30"/>
        </w:rPr>
      </w:pPr>
      <w:r>
        <w:rPr>
          <w:rFonts w:hint="default" w:ascii="仿宋_GB2312" w:hAnsi="仿宋_GB2312" w:eastAsia="仿宋_GB2312"/>
          <w:color w:val="auto"/>
          <w:position w:val="0"/>
          <w:sz w:val="30"/>
          <w:szCs w:val="30"/>
        </w:rPr>
        <w:t>2018年</w:t>
      </w:r>
      <w:r>
        <w:rPr>
          <w:rFonts w:hint="eastAsia" w:ascii="仿宋_GB2312" w:hAnsi="仿宋_GB2312" w:eastAsia="仿宋_GB2312"/>
          <w:color w:val="auto"/>
          <w:position w:val="0"/>
          <w:sz w:val="30"/>
          <w:szCs w:val="30"/>
          <w:lang w:eastAsia="zh-CN"/>
        </w:rPr>
        <w:t>天心区残联</w:t>
      </w:r>
      <w:r>
        <w:rPr>
          <w:rFonts w:hint="default" w:ascii="仿宋_GB2312" w:hAnsi="仿宋_GB2312" w:eastAsia="仿宋_GB2312"/>
          <w:color w:val="auto"/>
          <w:position w:val="0"/>
          <w:sz w:val="30"/>
          <w:szCs w:val="30"/>
        </w:rPr>
        <w:t>主动公开政府信息，其中：累计发布政策法规、规划计划、财务预算公开、残疾证办理等134条方便群众查阅、了解党的惠民方针和助残政策；其中主动公开规范性文件4件。制发规范性文件总数4件。业务工作动态126条，使社会对残疾人事业有了整体的了解，呼吁社会更多爱心之士关心残疾人事业。召开政府信息公开会议或专题会议数2次，举办各类培训班1次，接受培训人员数120人。</w:t>
      </w:r>
    </w:p>
    <w:p>
      <w:pPr>
        <w:numPr>
          <w:ilvl w:val="0"/>
          <w:numId w:val="0"/>
        </w:numPr>
        <w:autoSpaceDE/>
        <w:autoSpaceDN/>
        <w:spacing w:before="0" w:after="0" w:line="560" w:lineRule="exact"/>
        <w:ind w:right="0" w:firstLine="640"/>
        <w:jc w:val="both"/>
        <w:rPr>
          <w:rFonts w:hint="default" w:ascii="宋体" w:hAnsi="宋体" w:eastAsia="宋体"/>
          <w:color w:val="auto"/>
          <w:position w:val="0"/>
          <w:sz w:val="30"/>
          <w:szCs w:val="30"/>
        </w:rPr>
      </w:pPr>
      <w:r>
        <w:rPr>
          <w:rFonts w:hint="default" w:ascii="黑体" w:hAnsi="黑体" w:eastAsia="黑体"/>
          <w:color w:val="auto"/>
          <w:position w:val="0"/>
          <w:sz w:val="30"/>
          <w:szCs w:val="30"/>
        </w:rPr>
        <w:t>三、政府信息公开申请办理情况</w:t>
      </w:r>
    </w:p>
    <w:p>
      <w:pPr>
        <w:numPr>
          <w:ilvl w:val="0"/>
          <w:numId w:val="0"/>
        </w:numPr>
        <w:autoSpaceDE/>
        <w:autoSpaceDN/>
        <w:spacing w:before="0" w:after="0" w:line="560" w:lineRule="exact"/>
        <w:ind w:right="0" w:firstLine="640"/>
        <w:jc w:val="both"/>
        <w:rPr>
          <w:rFonts w:hint="default" w:ascii="宋体" w:hAnsi="宋体" w:eastAsia="宋体"/>
          <w:color w:val="auto"/>
          <w:position w:val="0"/>
          <w:sz w:val="30"/>
          <w:szCs w:val="30"/>
        </w:rPr>
      </w:pPr>
      <w:r>
        <w:rPr>
          <w:rFonts w:hint="default" w:ascii="仿宋_GB2312" w:hAnsi="仿宋_GB2312" w:eastAsia="仿宋_GB2312"/>
          <w:color w:val="auto"/>
          <w:position w:val="0"/>
          <w:sz w:val="30"/>
          <w:szCs w:val="30"/>
        </w:rPr>
        <w:t>2018年</w:t>
      </w:r>
      <w:r>
        <w:rPr>
          <w:rFonts w:hint="eastAsia" w:ascii="仿宋_GB2312" w:hAnsi="仿宋_GB2312" w:eastAsia="仿宋_GB2312"/>
          <w:color w:val="auto"/>
          <w:position w:val="0"/>
          <w:sz w:val="30"/>
          <w:szCs w:val="30"/>
          <w:lang w:eastAsia="zh-CN"/>
        </w:rPr>
        <w:t>天心区残联</w:t>
      </w:r>
      <w:r>
        <w:rPr>
          <w:rFonts w:hint="default" w:ascii="仿宋_GB2312" w:hAnsi="仿宋_GB2312" w:eastAsia="仿宋_GB2312"/>
          <w:color w:val="auto"/>
          <w:position w:val="0"/>
          <w:sz w:val="30"/>
          <w:szCs w:val="30"/>
        </w:rPr>
        <w:t>没有收到政府信息公开申请事项，没有对信息公开进行收费的情况，也没有收到残疾群众反映的政府信息投诉等情况。</w:t>
      </w:r>
    </w:p>
    <w:p>
      <w:pPr>
        <w:numPr>
          <w:ilvl w:val="0"/>
          <w:numId w:val="0"/>
        </w:numPr>
        <w:autoSpaceDE/>
        <w:autoSpaceDN/>
        <w:spacing w:before="0" w:after="0" w:line="560" w:lineRule="exact"/>
        <w:ind w:right="0" w:firstLine="0"/>
        <w:jc w:val="both"/>
        <w:rPr>
          <w:rFonts w:hint="default" w:ascii="宋体" w:hAnsi="宋体" w:eastAsia="宋体"/>
          <w:color w:val="auto"/>
          <w:position w:val="0"/>
          <w:sz w:val="30"/>
          <w:szCs w:val="30"/>
        </w:rPr>
      </w:pPr>
      <w:r>
        <w:rPr>
          <w:rFonts w:hint="default" w:ascii="黑体" w:hAnsi="黑体" w:eastAsia="黑体"/>
          <w:color w:val="auto"/>
          <w:position w:val="0"/>
          <w:sz w:val="30"/>
          <w:szCs w:val="30"/>
        </w:rPr>
        <w:t xml:space="preserve">    四、政府信息公开举报投诉、行政复议和行政诉讼情况</w:t>
      </w:r>
    </w:p>
    <w:p>
      <w:pPr>
        <w:numPr>
          <w:ilvl w:val="0"/>
          <w:numId w:val="0"/>
        </w:numPr>
        <w:autoSpaceDE/>
        <w:autoSpaceDN/>
        <w:spacing w:before="0" w:after="0" w:line="560" w:lineRule="exact"/>
        <w:ind w:right="0" w:firstLine="480"/>
        <w:jc w:val="both"/>
        <w:rPr>
          <w:rFonts w:hint="default" w:ascii="仿宋_GB2312" w:hAnsi="宋体" w:eastAsia="宋体"/>
          <w:color w:val="auto"/>
          <w:position w:val="0"/>
          <w:sz w:val="30"/>
          <w:szCs w:val="30"/>
        </w:rPr>
      </w:pPr>
      <w:r>
        <w:rPr>
          <w:rFonts w:hint="default" w:ascii="仿宋_GB2312" w:hAnsi="仿宋_GB2312" w:eastAsia="仿宋_GB2312"/>
          <w:color w:val="auto"/>
          <w:position w:val="0"/>
          <w:sz w:val="32"/>
          <w:szCs w:val="32"/>
        </w:rPr>
        <w:t>2018年，</w:t>
      </w:r>
      <w:r>
        <w:rPr>
          <w:rFonts w:hint="eastAsia" w:ascii="仿宋_GB2312" w:hAnsi="仿宋_GB2312" w:eastAsia="仿宋_GB2312"/>
          <w:color w:val="auto"/>
          <w:position w:val="0"/>
          <w:sz w:val="32"/>
          <w:szCs w:val="32"/>
          <w:lang w:eastAsia="zh-CN"/>
        </w:rPr>
        <w:t>天心</w:t>
      </w:r>
      <w:r>
        <w:rPr>
          <w:rFonts w:hint="default" w:ascii="仿宋_GB2312" w:hAnsi="仿宋_GB2312" w:eastAsia="仿宋_GB2312"/>
          <w:color w:val="auto"/>
          <w:position w:val="0"/>
          <w:sz w:val="32"/>
          <w:szCs w:val="32"/>
        </w:rPr>
        <w:t>区残联政府信息公开工作没有引发举报、投诉、行政复议等情况。</w:t>
      </w:r>
    </w:p>
    <w:p>
      <w:pPr>
        <w:numPr>
          <w:ilvl w:val="0"/>
          <w:numId w:val="0"/>
        </w:numPr>
        <w:shd w:val="clear" w:color="000000" w:fill="FFFFFF"/>
        <w:autoSpaceDE/>
        <w:autoSpaceDN/>
        <w:spacing w:before="0" w:after="0" w:line="560" w:lineRule="exact"/>
        <w:ind w:right="0" w:firstLine="660"/>
        <w:jc w:val="both"/>
        <w:rPr>
          <w:rFonts w:hint="default" w:ascii="Times New Roman" w:hAnsi="Times New Roman" w:eastAsia="Times New Roman"/>
          <w:color w:val="000000"/>
          <w:position w:val="0"/>
          <w:sz w:val="30"/>
          <w:szCs w:val="30"/>
        </w:rPr>
      </w:pPr>
      <w:r>
        <w:rPr>
          <w:rFonts w:hint="default" w:ascii="黑体" w:hAnsi="黑体" w:eastAsia="黑体"/>
          <w:color w:val="000000"/>
          <w:position w:val="0"/>
          <w:sz w:val="30"/>
          <w:szCs w:val="30"/>
        </w:rPr>
        <w:t>五、认真贯彻施行《政府信息公开条例》</w:t>
      </w:r>
    </w:p>
    <w:p>
      <w:pPr>
        <w:numPr>
          <w:ilvl w:val="0"/>
          <w:numId w:val="0"/>
        </w:numPr>
        <w:shd w:val="clear" w:color="000000" w:fill="FFFFFF"/>
        <w:autoSpaceDE/>
        <w:autoSpaceDN/>
        <w:spacing w:before="0" w:after="0" w:line="560" w:lineRule="exact"/>
        <w:ind w:right="0" w:firstLine="660"/>
        <w:jc w:val="both"/>
        <w:rPr>
          <w:rFonts w:hint="default" w:ascii="Times New Roman" w:hAnsi="Times New Roman" w:eastAsia="Times New Roman"/>
          <w:color w:val="000000"/>
          <w:position w:val="0"/>
          <w:sz w:val="30"/>
          <w:szCs w:val="30"/>
        </w:rPr>
      </w:pPr>
      <w:r>
        <w:rPr>
          <w:rFonts w:hint="eastAsia" w:ascii="仿宋_GB2312" w:hAnsi="仿宋_GB2312" w:eastAsia="仿宋_GB2312"/>
          <w:color w:val="000000"/>
          <w:position w:val="0"/>
          <w:sz w:val="30"/>
          <w:szCs w:val="30"/>
          <w:lang w:eastAsia="zh-CN"/>
        </w:rPr>
        <w:t>天心区残联</w:t>
      </w:r>
      <w:r>
        <w:rPr>
          <w:rFonts w:hint="default" w:ascii="仿宋_GB2312" w:hAnsi="仿宋_GB2312" w:eastAsia="仿宋_GB2312"/>
          <w:color w:val="000000"/>
          <w:position w:val="0"/>
          <w:sz w:val="30"/>
          <w:szCs w:val="30"/>
        </w:rPr>
        <w:t>将政府信息公开相关知识列入了集体学习计划，采取多种有效形式学习宣传《中华人民共和国政府信息公开条例》，深刻领会《条例》的立法精神、主要内容和重要意义，按照《条例》规定，紧紧围绕“依法、便民、高效、廉洁、透明”的要求，将政府信息公开指南和目录的编制工作列入区残联政务公开工作的重要内容，并及时在政府公众信息网上公布；按照《条例》规定，研究制定了区残联信息公开工作配套制度，营造了《条例》施行的良好氛围，确保了《条例》顺利贯彻实施。</w:t>
      </w:r>
    </w:p>
    <w:p>
      <w:pPr>
        <w:numPr>
          <w:ilvl w:val="0"/>
          <w:numId w:val="0"/>
        </w:numPr>
        <w:autoSpaceDE/>
        <w:autoSpaceDN/>
        <w:spacing w:before="0" w:after="0" w:line="560" w:lineRule="exact"/>
        <w:ind w:right="0" w:firstLine="0"/>
        <w:jc w:val="both"/>
        <w:rPr>
          <w:rFonts w:hint="default" w:ascii="黑体" w:hAnsi="黑体" w:eastAsia="黑体"/>
          <w:color w:val="auto"/>
          <w:position w:val="0"/>
          <w:sz w:val="32"/>
          <w:szCs w:val="32"/>
        </w:rPr>
      </w:pPr>
      <w:r>
        <w:rPr>
          <w:rFonts w:hint="default" w:ascii="仿宋_GB2312" w:hAnsi="仿宋_GB2312" w:eastAsia="仿宋_GB2312"/>
          <w:color w:val="auto"/>
          <w:position w:val="0"/>
          <w:sz w:val="32"/>
          <w:szCs w:val="32"/>
        </w:rPr>
        <w:t xml:space="preserve">    </w:t>
      </w:r>
      <w:r>
        <w:rPr>
          <w:rFonts w:hint="default" w:ascii="黑体" w:hAnsi="黑体" w:eastAsia="黑体"/>
          <w:color w:val="auto"/>
          <w:position w:val="0"/>
          <w:sz w:val="32"/>
          <w:szCs w:val="32"/>
        </w:rPr>
        <w:t>六、存在的主要问题及改进思路</w:t>
      </w:r>
    </w:p>
    <w:p>
      <w:pPr>
        <w:numPr>
          <w:ilvl w:val="0"/>
          <w:numId w:val="0"/>
        </w:numPr>
        <w:autoSpaceDE/>
        <w:autoSpaceDN/>
        <w:spacing w:before="0" w:after="0" w:line="560" w:lineRule="exact"/>
        <w:ind w:right="0" w:firstLine="640"/>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2018年</w:t>
      </w:r>
      <w:r>
        <w:rPr>
          <w:rFonts w:hint="eastAsia" w:ascii="仿宋_GB2312" w:hAnsi="仿宋_GB2312" w:eastAsia="仿宋_GB2312"/>
          <w:color w:val="auto"/>
          <w:position w:val="0"/>
          <w:sz w:val="32"/>
          <w:szCs w:val="32"/>
          <w:lang w:eastAsia="zh-CN"/>
        </w:rPr>
        <w:t>天心</w:t>
      </w:r>
      <w:r>
        <w:rPr>
          <w:rFonts w:hint="default" w:ascii="仿宋_GB2312" w:hAnsi="仿宋_GB2312" w:eastAsia="仿宋_GB2312"/>
          <w:color w:val="auto"/>
          <w:position w:val="0"/>
          <w:sz w:val="32"/>
          <w:szCs w:val="32"/>
        </w:rPr>
        <w:t>区残联政府信息公开工作在区电政办的指导下，在</w:t>
      </w:r>
      <w:r>
        <w:rPr>
          <w:rFonts w:hint="eastAsia" w:ascii="仿宋_GB2312" w:hAnsi="仿宋_GB2312" w:eastAsia="仿宋_GB2312"/>
          <w:color w:val="auto"/>
          <w:position w:val="0"/>
          <w:sz w:val="32"/>
          <w:szCs w:val="32"/>
          <w:lang w:eastAsia="zh-CN"/>
        </w:rPr>
        <w:t>单位</w:t>
      </w:r>
      <w:r>
        <w:rPr>
          <w:rFonts w:hint="default" w:ascii="仿宋_GB2312" w:hAnsi="仿宋_GB2312" w:eastAsia="仿宋_GB2312"/>
          <w:color w:val="auto"/>
          <w:position w:val="0"/>
          <w:sz w:val="32"/>
          <w:szCs w:val="32"/>
        </w:rPr>
        <w:t>党组的高度重视下，取得了一定的成绩，但通过自查我们也发现了一些问题：一是对政府信息公开工作的认识不到位。二是政府信息公开的内容和形式有待进一步完善。三是政府信息公开的时效性还需要加强。四是</w:t>
      </w:r>
      <w:r>
        <w:rPr>
          <w:rFonts w:hint="default" w:ascii="仿宋_GB2312" w:hAnsi="仿宋_GB2312" w:eastAsia="仿宋_GB2312"/>
          <w:color w:val="444444"/>
          <w:position w:val="0"/>
          <w:sz w:val="32"/>
          <w:szCs w:val="32"/>
        </w:rPr>
        <w:t>重</w:t>
      </w:r>
      <w:r>
        <w:rPr>
          <w:rFonts w:hint="default" w:ascii="仿宋_GB2312" w:hAnsi="仿宋_GB2312" w:eastAsia="仿宋_GB2312"/>
          <w:color w:val="auto"/>
          <w:position w:val="0"/>
          <w:sz w:val="32"/>
          <w:szCs w:val="32"/>
        </w:rPr>
        <w:t>点项目和领域信息公开工作还需要深入推进。</w:t>
      </w:r>
    </w:p>
    <w:p>
      <w:pPr>
        <w:numPr>
          <w:ilvl w:val="0"/>
          <w:numId w:val="0"/>
        </w:numPr>
        <w:autoSpaceDE/>
        <w:autoSpaceDN/>
        <w:spacing w:before="0" w:after="0" w:line="560" w:lineRule="exact"/>
        <w:ind w:right="0" w:firstLine="64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2"/>
          <w:szCs w:val="32"/>
        </w:rPr>
        <w:t>下一步，</w:t>
      </w:r>
      <w:r>
        <w:rPr>
          <w:rFonts w:hint="eastAsia" w:ascii="仿宋_GB2312" w:hAnsi="仿宋_GB2312" w:eastAsia="仿宋_GB2312"/>
          <w:color w:val="auto"/>
          <w:position w:val="0"/>
          <w:sz w:val="32"/>
          <w:szCs w:val="32"/>
          <w:lang w:eastAsia="zh-CN"/>
        </w:rPr>
        <w:t>天心</w:t>
      </w:r>
      <w:r>
        <w:rPr>
          <w:rFonts w:hint="default" w:ascii="仿宋_GB2312" w:hAnsi="仿宋_GB2312" w:eastAsia="仿宋_GB2312"/>
          <w:color w:val="auto"/>
          <w:position w:val="0"/>
          <w:sz w:val="32"/>
          <w:szCs w:val="32"/>
        </w:rPr>
        <w:t>区残联将根据区政府部署，结合残疾人工作实际</w:t>
      </w:r>
      <w:r>
        <w:rPr>
          <w:rFonts w:hint="default" w:ascii="Verdana" w:hAnsi="Verdana" w:eastAsia="Verdana"/>
          <w:color w:val="444444"/>
          <w:position w:val="0"/>
          <w:sz w:val="20"/>
          <w:szCs w:val="20"/>
        </w:rPr>
        <w:t>，</w:t>
      </w:r>
      <w:r>
        <w:rPr>
          <w:rFonts w:hint="default" w:ascii="仿宋_GB2312" w:hAnsi="仿宋_GB2312" w:eastAsia="仿宋_GB2312"/>
          <w:color w:val="auto"/>
          <w:position w:val="0"/>
          <w:sz w:val="32"/>
          <w:szCs w:val="32"/>
        </w:rPr>
        <w:t>根据区政府电政办月度和日常测评反馈结果，及时抓好整改落实。同时坚持以公开促落实，以公开促服务，推进决策公开、执行公开、管理公开、服务公开和结果公开，进一步探索公开工作多样化形式，拓展公开渠道，丰富公开手段，增加公开内容，提高信息质量和实效性，不断突破创新，努力创造良好的残疾人事业宣传氛围，</w:t>
      </w:r>
      <w:r>
        <w:rPr>
          <w:rFonts w:hint="default" w:ascii="仿宋_GB2312" w:hAnsi="仿宋_GB2312" w:eastAsia="仿宋_GB2312"/>
          <w:color w:val="auto"/>
          <w:position w:val="0"/>
          <w:sz w:val="30"/>
          <w:szCs w:val="30"/>
        </w:rPr>
        <w:t>力争把政府信息公开工作做得更加贴近民心。</w:t>
      </w:r>
    </w:p>
    <w:p>
      <w:pPr>
        <w:numPr>
          <w:ilvl w:val="0"/>
          <w:numId w:val="0"/>
        </w:numPr>
        <w:autoSpaceDE/>
        <w:autoSpaceDN/>
        <w:spacing w:before="0" w:after="0" w:line="560" w:lineRule="exact"/>
        <w:ind w:right="0" w:firstLine="640"/>
        <w:jc w:val="both"/>
        <w:rPr>
          <w:rFonts w:hint="eastAsia" w:ascii="仿宋_GB2312" w:hAnsi="仿宋_GB2312" w:eastAsia="仿宋_GB2312"/>
          <w:color w:val="auto"/>
          <w:position w:val="0"/>
          <w:sz w:val="30"/>
          <w:szCs w:val="30"/>
          <w:lang w:val="en-US" w:eastAsia="zh-CN"/>
        </w:rPr>
      </w:pPr>
    </w:p>
    <w:p>
      <w:pPr>
        <w:numPr>
          <w:ilvl w:val="0"/>
          <w:numId w:val="0"/>
        </w:numPr>
        <w:autoSpaceDE/>
        <w:autoSpaceDN/>
        <w:spacing w:before="0" w:after="0" w:line="560" w:lineRule="exact"/>
        <w:ind w:right="0" w:firstLine="640"/>
        <w:jc w:val="both"/>
        <w:rPr>
          <w:rFonts w:hint="eastAsia" w:ascii="仿宋_GB2312" w:hAnsi="仿宋_GB2312" w:eastAsia="仿宋_GB2312"/>
          <w:color w:val="auto"/>
          <w:position w:val="0"/>
          <w:sz w:val="30"/>
          <w:szCs w:val="30"/>
          <w:lang w:val="en-US" w:eastAsia="zh-CN"/>
        </w:rPr>
      </w:pPr>
    </w:p>
    <w:p>
      <w:pPr>
        <w:numPr>
          <w:ilvl w:val="0"/>
          <w:numId w:val="0"/>
        </w:numPr>
        <w:autoSpaceDE/>
        <w:autoSpaceDN/>
        <w:spacing w:before="0" w:after="0" w:line="560" w:lineRule="exact"/>
        <w:ind w:right="0" w:firstLine="640"/>
        <w:jc w:val="both"/>
        <w:rPr>
          <w:rFonts w:hint="eastAsia" w:ascii="仿宋_GB2312" w:hAnsi="仿宋_GB2312" w:eastAsia="仿宋_GB2312"/>
          <w:color w:val="auto"/>
          <w:position w:val="0"/>
          <w:sz w:val="30"/>
          <w:szCs w:val="30"/>
          <w:lang w:val="en-US" w:eastAsia="zh-CN"/>
        </w:rPr>
      </w:pPr>
    </w:p>
    <w:p>
      <w:pPr>
        <w:numPr>
          <w:ilvl w:val="0"/>
          <w:numId w:val="0"/>
        </w:numPr>
        <w:autoSpaceDE/>
        <w:autoSpaceDN/>
        <w:spacing w:before="0" w:after="0" w:line="560" w:lineRule="exact"/>
        <w:ind w:right="0" w:firstLine="4806" w:firstLineChars="1602"/>
        <w:jc w:val="both"/>
        <w:rPr>
          <w:rFonts w:hint="eastAsia" w:ascii="仿宋_GB2312" w:hAnsi="仿宋_GB2312" w:eastAsia="仿宋_GB2312"/>
          <w:color w:val="auto"/>
          <w:position w:val="0"/>
          <w:sz w:val="30"/>
          <w:szCs w:val="30"/>
          <w:lang w:val="en-US" w:eastAsia="zh-CN"/>
        </w:rPr>
      </w:pPr>
    </w:p>
    <w:p>
      <w:pPr>
        <w:numPr>
          <w:ilvl w:val="0"/>
          <w:numId w:val="0"/>
        </w:numPr>
        <w:autoSpaceDE/>
        <w:autoSpaceDN/>
        <w:spacing w:before="0" w:after="0" w:line="560" w:lineRule="exact"/>
        <w:ind w:right="0" w:firstLine="4806" w:firstLineChars="1602"/>
        <w:jc w:val="both"/>
        <w:rPr>
          <w:rFonts w:hint="eastAsia" w:ascii="仿宋_GB2312" w:hAnsi="仿宋_GB2312" w:eastAsia="仿宋_GB2312"/>
          <w:color w:val="auto"/>
          <w:position w:val="0"/>
          <w:sz w:val="30"/>
          <w:szCs w:val="30"/>
          <w:lang w:val="en-US" w:eastAsia="zh-CN"/>
        </w:rPr>
      </w:pPr>
    </w:p>
    <w:p>
      <w:pPr>
        <w:numPr>
          <w:ilvl w:val="0"/>
          <w:numId w:val="0"/>
        </w:numPr>
        <w:autoSpaceDE/>
        <w:autoSpaceDN/>
        <w:spacing w:before="0" w:after="0" w:line="560" w:lineRule="exact"/>
        <w:ind w:right="0" w:firstLine="5406" w:firstLineChars="1802"/>
        <w:jc w:val="both"/>
        <w:rPr>
          <w:rFonts w:hint="eastAsia" w:ascii="仿宋_GB2312" w:hAnsi="仿宋_GB2312" w:eastAsia="仿宋_GB2312"/>
          <w:color w:val="auto"/>
          <w:position w:val="0"/>
          <w:sz w:val="30"/>
          <w:szCs w:val="30"/>
          <w:lang w:val="en-US" w:eastAsia="zh-CN"/>
        </w:rPr>
      </w:pPr>
      <w:r>
        <w:rPr>
          <w:rFonts w:hint="eastAsia" w:ascii="仿宋_GB2312" w:hAnsi="仿宋_GB2312" w:eastAsia="仿宋_GB2312"/>
          <w:color w:val="auto"/>
          <w:position w:val="0"/>
          <w:sz w:val="30"/>
          <w:szCs w:val="30"/>
          <w:lang w:val="en-US" w:eastAsia="zh-CN"/>
        </w:rPr>
        <w:t>天心区残联</w:t>
      </w:r>
    </w:p>
    <w:p>
      <w:pPr>
        <w:numPr>
          <w:ilvl w:val="0"/>
          <w:numId w:val="0"/>
        </w:numPr>
        <w:autoSpaceDE/>
        <w:autoSpaceDN/>
        <w:spacing w:before="0" w:after="0" w:line="560" w:lineRule="exact"/>
        <w:ind w:right="0" w:firstLine="5106" w:firstLineChars="1702"/>
        <w:jc w:val="both"/>
        <w:rPr>
          <w:rFonts w:hint="eastAsia" w:ascii="仿宋_GB2312" w:hAnsi="仿宋_GB2312" w:eastAsia="仿宋_GB2312"/>
          <w:color w:val="auto"/>
          <w:position w:val="0"/>
          <w:sz w:val="30"/>
          <w:szCs w:val="30"/>
          <w:lang w:val="en-US" w:eastAsia="zh-CN"/>
        </w:rPr>
      </w:pPr>
      <w:bookmarkStart w:id="0" w:name="_GoBack"/>
      <w:bookmarkEnd w:id="0"/>
      <w:r>
        <w:rPr>
          <w:rFonts w:hint="eastAsia" w:ascii="仿宋_GB2312" w:hAnsi="仿宋_GB2312" w:eastAsia="仿宋_GB2312"/>
          <w:color w:val="auto"/>
          <w:position w:val="0"/>
          <w:sz w:val="30"/>
          <w:szCs w:val="30"/>
          <w:lang w:val="en-US" w:eastAsia="zh-CN"/>
        </w:rPr>
        <w:t>2019年1月11日</w:t>
      </w:r>
    </w:p>
    <w:sectPr>
      <w:footerReference r:id="rId3" w:type="default"/>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numPr>
        <w:ilvl w:val="0"/>
        <w:numId w:val="0"/>
      </w:numPr>
      <w:autoSpaceDE/>
      <w:autoSpaceDN/>
      <w:snapToGrid w:val="0"/>
      <w:spacing w:before="0" w:after="0" w:line="240" w:lineRule="auto"/>
      <w:ind w:right="0" w:firstLine="0"/>
      <w:jc w:val="center"/>
      <w:rPr>
        <w:rFonts w:hint="default" w:ascii="Calibri" w:hAnsi="宋体" w:eastAsia="宋体"/>
        <w:color w:val="auto"/>
        <w:position w:val="0"/>
        <w:sz w:val="18"/>
        <w:szCs w:val="18"/>
      </w:rPr>
    </w:pPr>
    <w:r>
      <w:rPr>
        <w:rFonts w:hint="default" w:ascii="Calibri" w:hAnsi="宋体" w:eastAsia="宋体"/>
        <w:color w:val="auto"/>
        <w:position w:val="0"/>
        <w:sz w:val="18"/>
        <w:szCs w:val="18"/>
      </w:rPr>
      <w:fldChar w:fldCharType="begin"/>
    </w:r>
    <w:r>
      <w:instrText xml:space="preserve">PAGE  \* MERGEFORMAT</w:instrText>
    </w:r>
    <w:r>
      <w:fldChar w:fldCharType="separate"/>
    </w:r>
    <w:r>
      <w:rPr>
        <w:rFonts w:hint="default" w:ascii="Calibri" w:hAnsi="宋体" w:eastAsia="宋体"/>
        <w:color w:val="auto"/>
        <w:position w:val="0"/>
        <w:sz w:val="18"/>
        <w:szCs w:val="18"/>
      </w:rPr>
      <w:t>4</w:t>
    </w:r>
    <w:r>
      <w:rPr>
        <w:rFonts w:hint="default" w:ascii="Calibri" w:hAnsi="宋体" w:eastAsia="宋体"/>
        <w:color w:val="auto"/>
        <w:position w:val="0"/>
        <w:sz w:val="18"/>
        <w:szCs w:val="18"/>
      </w:rPr>
      <w:fldChar w:fldCharType="end"/>
    </w:r>
  </w:p>
  <w:p>
    <w:pPr>
      <w:pStyle w:val="15"/>
      <w:numPr>
        <w:ilvl w:val="0"/>
        <w:numId w:val="0"/>
      </w:numPr>
      <w:autoSpaceDE/>
      <w:autoSpaceDN/>
      <w:snapToGrid w:val="0"/>
      <w:spacing w:before="0" w:after="0" w:line="240" w:lineRule="auto"/>
      <w:ind w:right="0" w:firstLine="0"/>
      <w:jc w:val="left"/>
      <w:rPr>
        <w:rFonts w:hint="default" w:ascii="Calibri" w:hAnsi="宋体" w:eastAsia="宋体"/>
        <w:color w:val="auto"/>
        <w:position w:val="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0"/>
  <w:displayVerticalDrawingGridEvery w:val="2"/>
  <w:characterSpacingControl w:val="compressPunctuation"/>
  <w:compat>
    <w:balanceSingleByteDoubleByteWidth/>
    <w:ulTrailSpace/>
    <w:doNotExpandShiftReturn/>
    <w:adjustLineHeightInTable/>
    <w:useFELayout/>
    <w:compatSetting w:name="compatibilityMode" w:uri="http://schemas.microsoft.com/office/word" w:val="12"/>
  </w:compat>
  <w:rsids>
    <w:rsidRoot w:val="00000000"/>
    <w:rsid w:val="00357748"/>
    <w:rsid w:val="05F75EEE"/>
    <w:rsid w:val="0E9748DE"/>
    <w:rsid w:val="0F5D1892"/>
    <w:rsid w:val="11AB5134"/>
    <w:rsid w:val="141D10AF"/>
    <w:rsid w:val="19B875C8"/>
    <w:rsid w:val="1D9725A6"/>
    <w:rsid w:val="212777C3"/>
    <w:rsid w:val="23772D48"/>
    <w:rsid w:val="251B12B4"/>
    <w:rsid w:val="25FD7734"/>
    <w:rsid w:val="26117FF7"/>
    <w:rsid w:val="2CB261D9"/>
    <w:rsid w:val="2DE049E2"/>
    <w:rsid w:val="2DE44401"/>
    <w:rsid w:val="2EF029C7"/>
    <w:rsid w:val="30636A4E"/>
    <w:rsid w:val="321017F2"/>
    <w:rsid w:val="33954B08"/>
    <w:rsid w:val="343B5FC7"/>
    <w:rsid w:val="34ED29AD"/>
    <w:rsid w:val="3B847C53"/>
    <w:rsid w:val="3B876EA4"/>
    <w:rsid w:val="3F104718"/>
    <w:rsid w:val="40273F54"/>
    <w:rsid w:val="43C50198"/>
    <w:rsid w:val="454E4674"/>
    <w:rsid w:val="45C61A0E"/>
    <w:rsid w:val="463E7ED4"/>
    <w:rsid w:val="464214AD"/>
    <w:rsid w:val="473B5C29"/>
    <w:rsid w:val="4D270F09"/>
    <w:rsid w:val="4E9E1BC9"/>
    <w:rsid w:val="4F75314D"/>
    <w:rsid w:val="527B5343"/>
    <w:rsid w:val="58FB09AE"/>
    <w:rsid w:val="5943603C"/>
    <w:rsid w:val="5EF8579D"/>
    <w:rsid w:val="60320FE5"/>
    <w:rsid w:val="61787D1B"/>
    <w:rsid w:val="689C6349"/>
    <w:rsid w:val="699B6E75"/>
    <w:rsid w:val="6AE10D22"/>
    <w:rsid w:val="6B7E2726"/>
    <w:rsid w:val="6C5312B9"/>
    <w:rsid w:val="6FB24714"/>
    <w:rsid w:val="701B4CEC"/>
    <w:rsid w:val="7155645E"/>
    <w:rsid w:val="716B71F0"/>
    <w:rsid w:val="71986F71"/>
    <w:rsid w:val="72964BD3"/>
    <w:rsid w:val="73EC61D7"/>
    <w:rsid w:val="74D073E7"/>
    <w:rsid w:val="74FF53DB"/>
    <w:rsid w:val="759F4BD0"/>
    <w:rsid w:val="7723636A"/>
    <w:rsid w:val="777A04D4"/>
    <w:rsid w:val="78894F78"/>
    <w:rsid w:val="7C735C5A"/>
    <w:rsid w:val="7DC327CF"/>
    <w:rsid w:val="7F6F40EC"/>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152" w:name="header"/>
    <w:lsdException w:qFormat="1"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宋体" w:cstheme="minorBidi"/>
      <w:w w:val="100"/>
      <w:sz w:val="21"/>
      <w:szCs w:val="21"/>
      <w:shd w:val="clear"/>
    </w:rPr>
  </w:style>
  <w:style w:type="paragraph" w:styleId="2">
    <w:name w:val="heading 1"/>
    <w:next w:val="1"/>
    <w:qFormat/>
    <w:uiPriority w:val="7"/>
    <w:pPr>
      <w:widowControl/>
      <w:wordWrap/>
      <w:autoSpaceDE/>
      <w:autoSpaceDN/>
      <w:jc w:val="both"/>
    </w:pPr>
    <w:rPr>
      <w:rFonts w:ascii="Calibri" w:hAnsi="Calibri" w:eastAsia="宋体" w:cstheme="minorBidi"/>
      <w:w w:val="100"/>
      <w:sz w:val="28"/>
      <w:szCs w:val="28"/>
      <w:shd w:val="clear"/>
    </w:rPr>
  </w:style>
  <w:style w:type="paragraph" w:styleId="3">
    <w:name w:val="heading 2"/>
    <w:next w:val="1"/>
    <w:qFormat/>
    <w:uiPriority w:val="8"/>
    <w:pPr>
      <w:widowControl/>
      <w:wordWrap/>
      <w:autoSpaceDE/>
      <w:autoSpaceDN/>
      <w:jc w:val="both"/>
    </w:pPr>
    <w:rPr>
      <w:rFonts w:ascii="Calibri" w:hAnsi="Calibri" w:eastAsia="宋体"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Calibri" w:hAnsi="Calibri" w:eastAsia="宋体"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Calibri" w:hAnsi="Calibri" w:eastAsia="宋体"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Calibri" w:hAnsi="Calibri" w:eastAsia="宋体"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Calibri" w:hAnsi="Calibri" w:eastAsia="宋体"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Calibri" w:hAnsi="Calibri" w:eastAsia="宋体"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Calibri" w:hAnsi="Calibri" w:eastAsia="宋体"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Calibri" w:hAnsi="Calibri" w:eastAsia="宋体" w:cstheme="minorBidi"/>
      <w:w w:val="100"/>
      <w:sz w:val="21"/>
      <w:szCs w:val="21"/>
      <w:shd w:val="clear"/>
    </w:rPr>
  </w:style>
  <w:style w:type="character" w:default="1" w:styleId="24">
    <w:name w:val="Default Paragraph Font"/>
    <w:semiHidden/>
    <w:unhideWhenUsed/>
    <w:uiPriority w:val="2"/>
  </w:style>
  <w:style w:type="table" w:default="1" w:styleId="27">
    <w:name w:val="Normal Table"/>
    <w:semiHidden/>
    <w:unhideWhenUsed/>
    <w:qFormat/>
    <w:uiPriority w:val="3"/>
    <w:tblPr>
      <w:tblLayout w:type="fixed"/>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Calibri" w:hAnsi="Calibri" w:eastAsia="宋体"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Calibri" w:hAnsi="Calibri" w:eastAsia="宋体"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Calibri" w:hAnsi="Calibri" w:eastAsia="宋体"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Calibri" w:hAnsi="Calibri" w:eastAsia="宋体" w:cstheme="minorBidi"/>
      <w:w w:val="100"/>
      <w:sz w:val="21"/>
      <w:szCs w:val="21"/>
      <w:shd w:val="clear"/>
    </w:rPr>
  </w:style>
  <w:style w:type="paragraph" w:styleId="15">
    <w:name w:val="footer"/>
    <w:basedOn w:val="1"/>
    <w:link w:val="40"/>
    <w:unhideWhenUsed/>
    <w:qFormat/>
    <w:uiPriority w:val="154"/>
    <w:pPr>
      <w:widowControl/>
      <w:tabs>
        <w:tab w:val="center" w:pos="4153"/>
        <w:tab w:val="right" w:pos="8306"/>
      </w:tabs>
      <w:wordWrap/>
      <w:autoSpaceDE/>
      <w:autoSpaceDN/>
    </w:pPr>
    <w:rPr>
      <w:w w:val="100"/>
      <w:sz w:val="18"/>
      <w:szCs w:val="18"/>
      <w:shd w:val="clear"/>
    </w:rPr>
  </w:style>
  <w:style w:type="paragraph" w:styleId="16">
    <w:name w:val="header"/>
    <w:basedOn w:val="1"/>
    <w:link w:val="39"/>
    <w:semiHidden/>
    <w:unhideWhenUsed/>
    <w:uiPriority w:val="152"/>
    <w:pPr>
      <w:widowControl/>
      <w:tabs>
        <w:tab w:val="center" w:pos="4153"/>
        <w:tab w:val="right" w:pos="8306"/>
      </w:tabs>
      <w:wordWrap/>
      <w:autoSpaceDE/>
      <w:autoSpaceDN/>
      <w:jc w:val="center"/>
    </w:pPr>
    <w:rPr>
      <w:w w:val="100"/>
      <w:sz w:val="18"/>
      <w:szCs w:val="18"/>
      <w:shd w:val="clear"/>
    </w:rPr>
  </w:style>
  <w:style w:type="paragraph" w:styleId="17">
    <w:name w:val="toc 1"/>
    <w:next w:val="1"/>
    <w:unhideWhenUsed/>
    <w:qFormat/>
    <w:uiPriority w:val="28"/>
    <w:pPr>
      <w:widowControl/>
      <w:wordWrap/>
      <w:autoSpaceDE/>
      <w:autoSpaceDN/>
      <w:jc w:val="both"/>
    </w:pPr>
    <w:rPr>
      <w:rFonts w:ascii="Calibri" w:hAnsi="Calibri" w:eastAsia="宋体" w:cstheme="minorBidi"/>
      <w:w w:val="100"/>
      <w:sz w:val="21"/>
      <w:szCs w:val="21"/>
      <w:shd w:val="clear"/>
    </w:rPr>
  </w:style>
  <w:style w:type="paragraph" w:styleId="18">
    <w:name w:val="toc 4"/>
    <w:next w:val="1"/>
    <w:unhideWhenUsed/>
    <w:qFormat/>
    <w:uiPriority w:val="31"/>
    <w:pPr>
      <w:widowControl/>
      <w:wordWrap/>
      <w:autoSpaceDE/>
      <w:autoSpaceDN/>
      <w:ind w:left="1275" w:firstLine="0"/>
      <w:jc w:val="both"/>
    </w:pPr>
    <w:rPr>
      <w:rFonts w:ascii="Calibri" w:hAnsi="Calibri" w:eastAsia="宋体" w:cstheme="minorBidi"/>
      <w:w w:val="100"/>
      <w:sz w:val="21"/>
      <w:szCs w:val="21"/>
      <w:shd w:val="clear"/>
    </w:rPr>
  </w:style>
  <w:style w:type="paragraph" w:styleId="19">
    <w:name w:val="Subtitle"/>
    <w:qFormat/>
    <w:uiPriority w:val="16"/>
    <w:pPr>
      <w:widowControl/>
      <w:wordWrap/>
      <w:autoSpaceDE/>
      <w:autoSpaceDN/>
      <w:jc w:val="center"/>
    </w:pPr>
    <w:rPr>
      <w:rFonts w:ascii="Calibri" w:hAnsi="Calibri" w:eastAsia="宋体" w:cstheme="minorBidi"/>
      <w:w w:val="100"/>
      <w:sz w:val="24"/>
      <w:szCs w:val="24"/>
      <w:shd w:val="clear"/>
    </w:rPr>
  </w:style>
  <w:style w:type="paragraph" w:styleId="20">
    <w:name w:val="toc 6"/>
    <w:next w:val="1"/>
    <w:unhideWhenUsed/>
    <w:qFormat/>
    <w:uiPriority w:val="33"/>
    <w:pPr>
      <w:widowControl/>
      <w:wordWrap/>
      <w:autoSpaceDE/>
      <w:autoSpaceDN/>
      <w:ind w:left="2125" w:firstLine="0"/>
      <w:jc w:val="both"/>
    </w:pPr>
    <w:rPr>
      <w:rFonts w:ascii="Calibri" w:hAnsi="Calibri" w:eastAsia="宋体" w:cstheme="minorBidi"/>
      <w:w w:val="100"/>
      <w:sz w:val="21"/>
      <w:szCs w:val="21"/>
      <w:shd w:val="clear"/>
    </w:rPr>
  </w:style>
  <w:style w:type="paragraph" w:styleId="21">
    <w:name w:val="toc 2"/>
    <w:next w:val="1"/>
    <w:unhideWhenUsed/>
    <w:qFormat/>
    <w:uiPriority w:val="29"/>
    <w:pPr>
      <w:widowControl/>
      <w:wordWrap/>
      <w:autoSpaceDE/>
      <w:autoSpaceDN/>
      <w:ind w:left="425" w:firstLine="0"/>
      <w:jc w:val="both"/>
    </w:pPr>
    <w:rPr>
      <w:rFonts w:ascii="Calibri" w:hAnsi="Calibri" w:eastAsia="宋体" w:cstheme="minorBidi"/>
      <w:w w:val="100"/>
      <w:sz w:val="21"/>
      <w:szCs w:val="21"/>
      <w:shd w:val="clear"/>
    </w:rPr>
  </w:style>
  <w:style w:type="paragraph" w:styleId="22">
    <w:name w:val="toc 9"/>
    <w:next w:val="1"/>
    <w:unhideWhenUsed/>
    <w:qFormat/>
    <w:uiPriority w:val="36"/>
    <w:pPr>
      <w:widowControl/>
      <w:wordWrap/>
      <w:autoSpaceDE/>
      <w:autoSpaceDN/>
      <w:ind w:left="3400" w:firstLine="0"/>
      <w:jc w:val="both"/>
    </w:pPr>
    <w:rPr>
      <w:rFonts w:ascii="Calibri" w:hAnsi="Calibri" w:eastAsia="宋体" w:cstheme="minorBidi"/>
      <w:w w:val="100"/>
      <w:sz w:val="21"/>
      <w:szCs w:val="21"/>
      <w:shd w:val="clear"/>
    </w:rPr>
  </w:style>
  <w:style w:type="paragraph" w:styleId="23">
    <w:name w:val="Title"/>
    <w:qFormat/>
    <w:uiPriority w:val="6"/>
    <w:pPr>
      <w:widowControl/>
      <w:wordWrap/>
      <w:autoSpaceDE/>
      <w:autoSpaceDN/>
      <w:jc w:val="center"/>
    </w:pPr>
    <w:rPr>
      <w:rFonts w:ascii="Calibri" w:hAnsi="Calibri" w:eastAsia="宋体" w:cstheme="minorBidi"/>
      <w:b/>
      <w:w w:val="100"/>
      <w:sz w:val="32"/>
      <w:szCs w:val="32"/>
      <w:shd w:val="clear"/>
    </w:rPr>
  </w:style>
  <w:style w:type="character" w:styleId="25">
    <w:name w:val="Strong"/>
    <w:qFormat/>
    <w:uiPriority w:val="20"/>
    <w:rPr>
      <w:b/>
      <w:w w:val="100"/>
      <w:sz w:val="21"/>
      <w:szCs w:val="21"/>
      <w:shd w:val="clear"/>
    </w:rPr>
  </w:style>
  <w:style w:type="character" w:styleId="26">
    <w:name w:val="Emphasis"/>
    <w:qFormat/>
    <w:uiPriority w:val="18"/>
    <w:rPr>
      <w:i/>
      <w:w w:val="100"/>
      <w:sz w:val="21"/>
      <w:szCs w:val="21"/>
      <w:shd w:val="clear"/>
    </w:rPr>
  </w:style>
  <w:style w:type="paragraph" w:styleId="28">
    <w:name w:val="No Spacing"/>
    <w:qFormat/>
    <w:uiPriority w:val="5"/>
    <w:pPr>
      <w:widowControl/>
      <w:wordWrap/>
      <w:autoSpaceDE/>
      <w:autoSpaceDN/>
      <w:jc w:val="both"/>
    </w:pPr>
    <w:rPr>
      <w:rFonts w:ascii="Calibri" w:hAnsi="Calibri" w:eastAsia="宋体" w:cstheme="minorBidi"/>
      <w:w w:val="100"/>
      <w:sz w:val="21"/>
      <w:szCs w:val="21"/>
      <w:shd w:val="clear"/>
    </w:rPr>
  </w:style>
  <w:style w:type="character" w:customStyle="1" w:styleId="29">
    <w:name w:val="Subtle Emphasis"/>
    <w:qFormat/>
    <w:uiPriority w:val="17"/>
    <w:rPr>
      <w:i/>
      <w:color w:val="404040"/>
      <w:w w:val="100"/>
      <w:sz w:val="21"/>
      <w:szCs w:val="21"/>
      <w:shd w:val="clear"/>
    </w:rPr>
  </w:style>
  <w:style w:type="character" w:customStyle="1" w:styleId="30">
    <w:name w:val="Intense Emphasis"/>
    <w:qFormat/>
    <w:uiPriority w:val="19"/>
    <w:rPr>
      <w:i/>
      <w:color w:val="5B9BD5"/>
      <w:w w:val="100"/>
      <w:sz w:val="21"/>
      <w:szCs w:val="21"/>
      <w:shd w:val="clear"/>
    </w:rPr>
  </w:style>
  <w:style w:type="paragraph" w:styleId="31">
    <w:name w:val="Quote"/>
    <w:qFormat/>
    <w:uiPriority w:val="21"/>
    <w:pPr>
      <w:widowControl/>
      <w:wordWrap/>
      <w:autoSpaceDE/>
      <w:autoSpaceDN/>
      <w:ind w:left="864" w:right="864" w:firstLine="0"/>
      <w:jc w:val="center"/>
    </w:pPr>
    <w:rPr>
      <w:rFonts w:ascii="Calibri" w:hAnsi="Calibri" w:eastAsia="宋体" w:cstheme="minorBidi"/>
      <w:i/>
      <w:color w:val="404040"/>
      <w:w w:val="100"/>
      <w:sz w:val="21"/>
      <w:szCs w:val="21"/>
      <w:shd w:val="clear"/>
    </w:rPr>
  </w:style>
  <w:style w:type="paragraph" w:styleId="32">
    <w:name w:val="Intense Quote"/>
    <w:qFormat/>
    <w:uiPriority w:val="22"/>
    <w:pPr>
      <w:widowControl/>
      <w:wordWrap/>
      <w:autoSpaceDE/>
      <w:autoSpaceDN/>
      <w:ind w:left="950" w:right="950" w:firstLine="0"/>
      <w:jc w:val="center"/>
    </w:pPr>
    <w:rPr>
      <w:rFonts w:ascii="Calibri" w:hAnsi="Calibri" w:eastAsia="宋体" w:cstheme="minorBidi"/>
      <w:i/>
      <w:color w:val="5B9BD5"/>
      <w:w w:val="100"/>
      <w:sz w:val="21"/>
      <w:szCs w:val="21"/>
      <w:shd w:val="clear"/>
    </w:rPr>
  </w:style>
  <w:style w:type="character" w:customStyle="1" w:styleId="33">
    <w:name w:val="Subtle Reference"/>
    <w:qFormat/>
    <w:uiPriority w:val="23"/>
    <w:rPr>
      <w:smallCaps/>
      <w:color w:val="5A5A5A"/>
      <w:w w:val="100"/>
      <w:sz w:val="21"/>
      <w:szCs w:val="21"/>
      <w:shd w:val="clear"/>
    </w:rPr>
  </w:style>
  <w:style w:type="character" w:customStyle="1" w:styleId="34">
    <w:name w:val="Intense Reference"/>
    <w:qFormat/>
    <w:uiPriority w:val="24"/>
    <w:rPr>
      <w:b/>
      <w:smallCaps/>
      <w:color w:val="5B9BD5"/>
      <w:w w:val="100"/>
      <w:sz w:val="21"/>
      <w:szCs w:val="21"/>
      <w:shd w:val="clear"/>
    </w:rPr>
  </w:style>
  <w:style w:type="character" w:customStyle="1" w:styleId="35">
    <w:name w:val="Book Title"/>
    <w:qFormat/>
    <w:uiPriority w:val="25"/>
    <w:rPr>
      <w:b/>
      <w:i/>
      <w:w w:val="100"/>
      <w:sz w:val="21"/>
      <w:szCs w:val="21"/>
      <w:shd w:val="clear"/>
    </w:rPr>
  </w:style>
  <w:style w:type="paragraph" w:styleId="36">
    <w:name w:val="List Paragraph"/>
    <w:qFormat/>
    <w:uiPriority w:val="26"/>
    <w:pPr>
      <w:widowControl/>
      <w:wordWrap/>
      <w:autoSpaceDE/>
      <w:autoSpaceDN/>
      <w:ind w:left="850" w:firstLine="0"/>
      <w:jc w:val="both"/>
    </w:pPr>
    <w:rPr>
      <w:rFonts w:ascii="Calibri" w:hAnsi="Calibri" w:eastAsia="宋体" w:cstheme="minorBidi"/>
      <w:w w:val="100"/>
      <w:sz w:val="21"/>
      <w:szCs w:val="21"/>
      <w:shd w:val="clear"/>
    </w:rPr>
  </w:style>
  <w:style w:type="paragraph" w:customStyle="1" w:styleId="37">
    <w:name w:val="TOC Heading"/>
    <w:unhideWhenUsed/>
    <w:qFormat/>
    <w:uiPriority w:val="27"/>
    <w:pPr>
      <w:widowControl/>
      <w:wordWrap/>
      <w:autoSpaceDE/>
      <w:autoSpaceDN/>
    </w:pPr>
    <w:rPr>
      <w:rFonts w:ascii="Calibri" w:hAnsi="Calibri" w:eastAsia="宋体" w:cstheme="minorBidi"/>
      <w:color w:val="2E74B5"/>
      <w:w w:val="100"/>
      <w:sz w:val="32"/>
      <w:szCs w:val="32"/>
      <w:shd w:val="clear"/>
    </w:rPr>
  </w:style>
  <w:style w:type="character" w:customStyle="1" w:styleId="38">
    <w:name w:val="apple-converted-space"/>
    <w:basedOn w:val="24"/>
    <w:uiPriority w:val="151"/>
  </w:style>
  <w:style w:type="character" w:customStyle="1" w:styleId="39">
    <w:name w:val="页眉 Char"/>
    <w:basedOn w:val="24"/>
    <w:link w:val="16"/>
    <w:semiHidden/>
    <w:uiPriority w:val="153"/>
    <w:rPr>
      <w:w w:val="100"/>
      <w:sz w:val="18"/>
      <w:szCs w:val="18"/>
      <w:shd w:val="clear"/>
    </w:rPr>
  </w:style>
  <w:style w:type="character" w:customStyle="1" w:styleId="40">
    <w:name w:val="页脚 Char"/>
    <w:basedOn w:val="24"/>
    <w:link w:val="15"/>
    <w:uiPriority w:val="155"/>
    <w:rPr>
      <w:w w:val="100"/>
      <w:sz w:val="18"/>
      <w:szCs w:val="18"/>
      <w:shd w:val="cle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4</Pages>
  <Words>255</Words>
  <Characters>0</Characters>
  <Lines>12</Lines>
  <Paragraphs>3</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2019-01-14T04:52:00Z</dcterms:created>
  <dc:creator>Administrator</dc:creator>
  <cp:lastModifiedBy>Administrator</cp:lastModifiedBy>
  <dcterms:modified xsi:type="dcterms:W3CDTF">2019-01-14T05:06:11Z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