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 w:afterAutospacing="0"/>
        <w:jc w:val="center"/>
      </w:pPr>
      <w:r>
        <w:rPr>
          <w:rFonts w:ascii="宋体" w:hAnsi="宋体" w:eastAsia="宋体" w:cs="宋体"/>
          <w:color w:val="000000"/>
          <w:sz w:val="36"/>
          <w:szCs w:val="36"/>
        </w:rPr>
        <w:t>第二部分 2022年部门预算表</w:t>
      </w:r>
      <w:r>
        <w:rPr>
          <w:color w:val="000000"/>
        </w:rPr>
        <w:t xml:space="preserve"> </w:t>
      </w:r>
    </w:p>
    <w:tbl>
      <w:tblPr>
        <w:tblStyle w:val="3"/>
        <w:tblpPr w:leftFromText="180" w:rightFromText="180" w:vertAnchor="text" w:horzAnchor="page" w:tblpX="575" w:tblpY="794"/>
        <w:tblOverlap w:val="neve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933"/>
        <w:gridCol w:w="3086"/>
        <w:gridCol w:w="4933"/>
        <w:gridCol w:w="3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1538" w:type="pct"/>
            <w:shd w:val="clear" w:color="auto" w:fill="auto"/>
            <w:vAlign w:val="center"/>
          </w:tcPr>
          <w:p>
            <w:pPr>
              <w:pStyle w:val="2"/>
              <w:keepNext w:val="0"/>
              <w:keepLines w:val="0"/>
              <w:widowControl/>
              <w:suppressLineNumbers w:val="0"/>
            </w:pPr>
          </w:p>
        </w:tc>
        <w:tc>
          <w:tcPr>
            <w:tcW w:w="961" w:type="pct"/>
            <w:shd w:val="clear" w:color="auto" w:fill="auto"/>
            <w:vAlign w:val="center"/>
          </w:tcPr>
          <w:p>
            <w:pPr>
              <w:pStyle w:val="2"/>
              <w:keepNext w:val="0"/>
              <w:keepLines w:val="0"/>
              <w:widowControl/>
              <w:suppressLineNumbers w:val="0"/>
            </w:pPr>
          </w:p>
        </w:tc>
        <w:tc>
          <w:tcPr>
            <w:tcW w:w="1538" w:type="pct"/>
            <w:shd w:val="clear" w:color="auto" w:fill="auto"/>
            <w:vAlign w:val="center"/>
          </w:tcPr>
          <w:p>
            <w:pPr>
              <w:pStyle w:val="2"/>
              <w:keepNext w:val="0"/>
              <w:keepLines w:val="0"/>
              <w:widowControl/>
              <w:suppressLineNumbers w:val="0"/>
            </w:pPr>
          </w:p>
        </w:tc>
        <w:tc>
          <w:tcPr>
            <w:tcW w:w="961"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gridSpan w:val="4"/>
            <w:shd w:val="clear" w:color="auto" w:fill="auto"/>
            <w:vAlign w:val="center"/>
          </w:tcPr>
          <w:p>
            <w:pPr>
              <w:pStyle w:val="2"/>
              <w:keepNext w:val="0"/>
              <w:keepLines w:val="0"/>
              <w:widowControl/>
              <w:suppressLineNumbers w:val="0"/>
              <w:jc w:val="center"/>
            </w:pPr>
            <w:r>
              <w:rPr>
                <w:rFonts w:ascii="宋体" w:hAnsi="宋体" w:eastAsia="宋体" w:cs="宋体"/>
                <w:b/>
                <w:sz w:val="38"/>
                <w:szCs w:val="38"/>
              </w:rPr>
              <w:t xml:space="preserve">2022年部门收支总体情况表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038" w:type="pct"/>
            <w:gridSpan w:val="3"/>
            <w:shd w:val="clear" w:color="auto" w:fill="auto"/>
            <w:vAlign w:val="center"/>
          </w:tcPr>
          <w:p>
            <w:pPr>
              <w:pStyle w:val="2"/>
              <w:keepNext w:val="0"/>
              <w:keepLines w:val="0"/>
              <w:widowControl/>
              <w:suppressLineNumbers w:val="0"/>
              <w:jc w:val="left"/>
            </w:pPr>
            <w:r>
              <w:rPr>
                <w:rFonts w:ascii="宋体" w:hAnsi="宋体" w:eastAsia="宋体" w:cs="宋体"/>
                <w:b/>
                <w:sz w:val="22"/>
                <w:szCs w:val="22"/>
              </w:rPr>
              <w:t xml:space="preserve">单位：038001_长沙市天心区妇女联合会 </w:t>
            </w:r>
          </w:p>
        </w:tc>
        <w:tc>
          <w:tcPr>
            <w:tcW w:w="961" w:type="pct"/>
            <w:shd w:val="clear" w:color="auto" w:fill="auto"/>
            <w:vAlign w:val="center"/>
          </w:tcPr>
          <w:p>
            <w:pPr>
              <w:pStyle w:val="2"/>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shd w:val="clear" w:color="auto" w:fill="auto"/>
            <w:vAlign w:val="center"/>
          </w:tcPr>
          <w:p>
            <w:pPr>
              <w:pStyle w:val="2"/>
              <w:keepNext w:val="0"/>
              <w:keepLines w:val="0"/>
              <w:widowControl/>
              <w:suppressLineNumbers w:val="0"/>
            </w:pPr>
          </w:p>
        </w:tc>
        <w:tc>
          <w:tcPr>
            <w:tcW w:w="961" w:type="pct"/>
            <w:shd w:val="clear" w:color="auto" w:fill="auto"/>
            <w:vAlign w:val="center"/>
          </w:tcPr>
          <w:p>
            <w:pPr>
              <w:pStyle w:val="2"/>
              <w:keepNext w:val="0"/>
              <w:keepLines w:val="0"/>
              <w:widowControl/>
              <w:suppressLineNumbers w:val="0"/>
            </w:pPr>
          </w:p>
        </w:tc>
        <w:tc>
          <w:tcPr>
            <w:tcW w:w="1538" w:type="pct"/>
            <w:shd w:val="clear" w:color="auto" w:fill="auto"/>
            <w:vAlign w:val="center"/>
          </w:tcPr>
          <w:p>
            <w:pPr>
              <w:pStyle w:val="2"/>
              <w:keepNext w:val="0"/>
              <w:keepLines w:val="0"/>
              <w:widowControl/>
              <w:suppressLineNumbers w:val="0"/>
            </w:pPr>
          </w:p>
        </w:tc>
        <w:tc>
          <w:tcPr>
            <w:tcW w:w="961" w:type="pct"/>
            <w:shd w:val="clear" w:color="auto" w:fill="auto"/>
            <w:vAlign w:val="center"/>
          </w:tcPr>
          <w:p>
            <w:pPr>
              <w:pStyle w:val="2"/>
              <w:keepNext w:val="0"/>
              <w:keepLines w:val="0"/>
              <w:widowControl/>
              <w:suppressLineNumbers w:val="0"/>
              <w:jc w:val="right"/>
            </w:pPr>
            <w:r>
              <w:rPr>
                <w:rFonts w:ascii="宋体" w:hAnsi="宋体" w:eastAsia="宋体" w:cs="宋体"/>
                <w:b/>
                <w:sz w:val="22"/>
                <w:szCs w:val="22"/>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0"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4"/>
                <w:szCs w:val="24"/>
              </w:rPr>
              <w:t xml:space="preserve">收 入 </w:t>
            </w:r>
          </w:p>
        </w:tc>
        <w:tc>
          <w:tcPr>
            <w:tcW w:w="2500"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4"/>
                <w:szCs w:val="24"/>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2"/>
                <w:szCs w:val="22"/>
              </w:rPr>
              <w:t xml:space="preserve">项 目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2"/>
                <w:szCs w:val="22"/>
              </w:rPr>
              <w:t xml:space="preserve">预算数 </w:t>
            </w: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2"/>
                <w:szCs w:val="22"/>
              </w:rPr>
              <w:t xml:space="preserve">项 目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2"/>
                <w:szCs w:val="22"/>
              </w:rPr>
              <w:t xml:space="preserve">预算数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一、财政拨款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152.08 </w:t>
            </w: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一、[201]一般公共服务支出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123.18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二、财政专户管理资金收入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二、[202]外交支出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三、事业收入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三、[203]国防支出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四、上级补助收入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四、[204]公共安全支出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五、事业单位经营收入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五、[205]教育支出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六、附属单位上缴收入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六、[206]科学技术支出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七、其他收入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七、[207]文化旅游体育与传媒支出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八、[208]社会保障和就业支出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九、[209]社会保险基金支出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十、[210]卫生健康支出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十一、[211]节能环保支出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十二、[212]城乡社区支出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十三、[213]农林水支出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十四、[214]交通运输支出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十五、[215]资源勘探工业信息等支出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十六、[216]商业服务业等支出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十七、[217]金融支出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十八、[219]援助其他地区支出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十九、[220]自然资源海洋气象等支出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二十、[221]住房保障支出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二十一、[222]粮油物资储备支出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二十二、[223]国有资本经营预算支出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二十三、[224]灾害防治及应急管理支出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二十四、[227]预备费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二十五、[229]其他支出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二十六、[230]转移性支出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二十七、[231]债务还本支出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二十八、[232]债务付息支出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二十九、[233]债务发行费用支出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三十、[234]抗疫特别国债安排的支出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0"/>
                <w:szCs w:val="20"/>
              </w:rPr>
              <w:t xml:space="preserve">本年收入合计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152.08 </w:t>
            </w: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0"/>
                <w:szCs w:val="20"/>
              </w:rPr>
              <w:t xml:space="preserve">本年支出合计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152.08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财政拨款结余结转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结转下年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财政拨款结转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财政拨款结余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财政专户结余结转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单位资金结余结转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4"/>
                <w:szCs w:val="24"/>
              </w:rPr>
              <w:t xml:space="preserve">收入总计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sz w:val="24"/>
                <w:szCs w:val="24"/>
              </w:rPr>
              <w:t xml:space="preserve">152.08 </w:t>
            </w:r>
          </w:p>
        </w:tc>
        <w:tc>
          <w:tcPr>
            <w:tcW w:w="1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4"/>
                <w:szCs w:val="24"/>
              </w:rPr>
              <w:t xml:space="preserve">支出总计 </w:t>
            </w:r>
          </w:p>
        </w:tc>
        <w:tc>
          <w:tcPr>
            <w:tcW w:w="96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sz w:val="24"/>
                <w:szCs w:val="24"/>
              </w:rPr>
              <w:t xml:space="preserve">152.08 </w:t>
            </w:r>
          </w:p>
        </w:tc>
      </w:tr>
    </w:tbl>
    <w:p>
      <w:pPr>
        <w:pStyle w:val="2"/>
        <w:keepNext w:val="0"/>
        <w:keepLines w:val="0"/>
        <w:widowControl/>
        <w:suppressLineNumbers w:val="0"/>
        <w:spacing w:before="0" w:beforeAutospacing="0" w:after="2" w:afterAutospacing="0"/>
        <w:jc w:val="center"/>
      </w:pPr>
    </w:p>
    <w:p>
      <w:pPr>
        <w:keepNext w:val="0"/>
        <w:keepLines w:val="0"/>
        <w:widowControl/>
        <w:suppressLineNumbers w:val="0"/>
        <w:jc w:val="left"/>
      </w:pPr>
      <w:r>
        <w:rPr>
          <w:rFonts w:ascii="宋体" w:hAnsi="宋体" w:eastAsia="宋体" w:cs="宋体"/>
          <w:color w:val="000000"/>
          <w:sz w:val="24"/>
          <w:szCs w:val="24"/>
        </w:rPr>
        <w:t xml:space="preserve">注：本表反映部门本年度的总收支和年末结转结余情况。本表金额转换为万元时，因四舍五入可能存在尾数误差。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p>
      <w:pPr>
        <w:pStyle w:val="2"/>
        <w:keepNext w:val="0"/>
        <w:keepLines w:val="0"/>
        <w:widowControl/>
        <w:suppressLineNumbers w:val="0"/>
        <w:spacing w:before="0" w:beforeAutospacing="0" w:after="2" w:afterAutospacing="0"/>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97"/>
        <w:gridCol w:w="590"/>
        <w:gridCol w:w="593"/>
        <w:gridCol w:w="3041"/>
        <w:gridCol w:w="1613"/>
        <w:gridCol w:w="1209"/>
        <w:gridCol w:w="1209"/>
        <w:gridCol w:w="1209"/>
        <w:gridCol w:w="1209"/>
        <w:gridCol w:w="1209"/>
        <w:gridCol w:w="1210"/>
        <w:gridCol w:w="1236"/>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55" w:type="pct"/>
            <w:shd w:val="clear" w:color="auto" w:fill="auto"/>
            <w:vAlign w:val="center"/>
          </w:tcPr>
          <w:p>
            <w:pPr>
              <w:pStyle w:val="2"/>
              <w:keepNext w:val="0"/>
              <w:keepLines w:val="0"/>
              <w:widowControl/>
              <w:suppressLineNumbers w:val="0"/>
            </w:pPr>
          </w:p>
        </w:tc>
        <w:tc>
          <w:tcPr>
            <w:tcW w:w="184" w:type="pct"/>
            <w:shd w:val="clear" w:color="auto" w:fill="auto"/>
            <w:vAlign w:val="center"/>
          </w:tcPr>
          <w:p>
            <w:pPr>
              <w:pStyle w:val="2"/>
              <w:keepNext w:val="0"/>
              <w:keepLines w:val="0"/>
              <w:widowControl/>
              <w:suppressLineNumbers w:val="0"/>
            </w:pPr>
          </w:p>
        </w:tc>
        <w:tc>
          <w:tcPr>
            <w:tcW w:w="184" w:type="pct"/>
            <w:shd w:val="clear" w:color="auto" w:fill="auto"/>
            <w:vAlign w:val="center"/>
          </w:tcPr>
          <w:p>
            <w:pPr>
              <w:pStyle w:val="2"/>
              <w:keepNext w:val="0"/>
              <w:keepLines w:val="0"/>
              <w:widowControl/>
              <w:suppressLineNumbers w:val="0"/>
            </w:pPr>
          </w:p>
        </w:tc>
        <w:tc>
          <w:tcPr>
            <w:tcW w:w="948" w:type="pct"/>
            <w:shd w:val="clear" w:color="auto" w:fill="auto"/>
            <w:vAlign w:val="center"/>
          </w:tcPr>
          <w:p>
            <w:pPr>
              <w:pStyle w:val="2"/>
              <w:keepNext w:val="0"/>
              <w:keepLines w:val="0"/>
              <w:widowControl/>
              <w:suppressLineNumbers w:val="0"/>
            </w:pPr>
          </w:p>
        </w:tc>
        <w:tc>
          <w:tcPr>
            <w:tcW w:w="503" w:type="pct"/>
            <w:shd w:val="clear" w:color="auto" w:fill="auto"/>
            <w:vAlign w:val="center"/>
          </w:tcPr>
          <w:p>
            <w:pPr>
              <w:pStyle w:val="2"/>
              <w:keepNext w:val="0"/>
              <w:keepLines w:val="0"/>
              <w:widowControl/>
              <w:suppressLineNumbers w:val="0"/>
            </w:pPr>
          </w:p>
        </w:tc>
        <w:tc>
          <w:tcPr>
            <w:tcW w:w="377" w:type="pct"/>
            <w:shd w:val="clear" w:color="auto" w:fill="auto"/>
            <w:vAlign w:val="center"/>
          </w:tcPr>
          <w:p>
            <w:pPr>
              <w:pStyle w:val="2"/>
              <w:keepNext w:val="0"/>
              <w:keepLines w:val="0"/>
              <w:widowControl/>
              <w:suppressLineNumbers w:val="0"/>
            </w:pPr>
          </w:p>
        </w:tc>
        <w:tc>
          <w:tcPr>
            <w:tcW w:w="377" w:type="pct"/>
            <w:shd w:val="clear" w:color="auto" w:fill="auto"/>
            <w:vAlign w:val="center"/>
          </w:tcPr>
          <w:p>
            <w:pPr>
              <w:pStyle w:val="2"/>
              <w:keepNext w:val="0"/>
              <w:keepLines w:val="0"/>
              <w:widowControl/>
              <w:suppressLineNumbers w:val="0"/>
            </w:pPr>
          </w:p>
        </w:tc>
        <w:tc>
          <w:tcPr>
            <w:tcW w:w="377" w:type="pct"/>
            <w:shd w:val="clear" w:color="auto" w:fill="auto"/>
            <w:vAlign w:val="center"/>
          </w:tcPr>
          <w:p>
            <w:pPr>
              <w:pStyle w:val="2"/>
              <w:keepNext w:val="0"/>
              <w:keepLines w:val="0"/>
              <w:widowControl/>
              <w:suppressLineNumbers w:val="0"/>
            </w:pPr>
          </w:p>
        </w:tc>
        <w:tc>
          <w:tcPr>
            <w:tcW w:w="377" w:type="pct"/>
            <w:shd w:val="clear" w:color="auto" w:fill="auto"/>
            <w:vAlign w:val="center"/>
          </w:tcPr>
          <w:p>
            <w:pPr>
              <w:pStyle w:val="2"/>
              <w:keepNext w:val="0"/>
              <w:keepLines w:val="0"/>
              <w:widowControl/>
              <w:suppressLineNumbers w:val="0"/>
            </w:pPr>
          </w:p>
        </w:tc>
        <w:tc>
          <w:tcPr>
            <w:tcW w:w="377" w:type="pct"/>
            <w:shd w:val="clear" w:color="auto" w:fill="auto"/>
            <w:vAlign w:val="center"/>
          </w:tcPr>
          <w:p>
            <w:pPr>
              <w:pStyle w:val="2"/>
              <w:keepNext w:val="0"/>
              <w:keepLines w:val="0"/>
              <w:widowControl/>
              <w:suppressLineNumbers w:val="0"/>
            </w:pPr>
          </w:p>
        </w:tc>
        <w:tc>
          <w:tcPr>
            <w:tcW w:w="377" w:type="pct"/>
            <w:shd w:val="clear" w:color="auto" w:fill="auto"/>
            <w:vAlign w:val="center"/>
          </w:tcPr>
          <w:p>
            <w:pPr>
              <w:pStyle w:val="2"/>
              <w:keepNext w:val="0"/>
              <w:keepLines w:val="0"/>
              <w:widowControl/>
              <w:suppressLineNumbers w:val="0"/>
            </w:pPr>
          </w:p>
        </w:tc>
        <w:tc>
          <w:tcPr>
            <w:tcW w:w="377" w:type="pct"/>
            <w:shd w:val="clear" w:color="auto" w:fill="auto"/>
            <w:vAlign w:val="center"/>
          </w:tcPr>
          <w:p>
            <w:pPr>
              <w:pStyle w:val="2"/>
              <w:keepNext w:val="0"/>
              <w:keepLines w:val="0"/>
              <w:widowControl/>
              <w:suppressLineNumbers w:val="0"/>
            </w:pPr>
          </w:p>
        </w:tc>
        <w:tc>
          <w:tcPr>
            <w:tcW w:w="377"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3"/>
            <w:shd w:val="clear" w:color="auto" w:fill="auto"/>
            <w:vAlign w:val="center"/>
          </w:tcPr>
          <w:p>
            <w:pPr>
              <w:pStyle w:val="2"/>
              <w:keepNext w:val="0"/>
              <w:keepLines w:val="0"/>
              <w:widowControl/>
              <w:suppressLineNumbers w:val="0"/>
              <w:jc w:val="center"/>
            </w:pPr>
            <w:r>
              <w:rPr>
                <w:rFonts w:ascii="宋体" w:hAnsi="宋体" w:eastAsia="宋体" w:cs="宋体"/>
                <w:b/>
                <w:sz w:val="36"/>
                <w:szCs w:val="36"/>
              </w:rPr>
              <w:t xml:space="preserve">2022年部门收入总体情况表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622" w:type="pct"/>
            <w:gridSpan w:val="12"/>
            <w:shd w:val="clear" w:color="auto" w:fill="auto"/>
            <w:vAlign w:val="center"/>
          </w:tcPr>
          <w:p>
            <w:pPr>
              <w:pStyle w:val="2"/>
              <w:keepNext w:val="0"/>
              <w:keepLines w:val="0"/>
              <w:widowControl/>
              <w:suppressLineNumbers w:val="0"/>
              <w:jc w:val="left"/>
            </w:pPr>
            <w:r>
              <w:rPr>
                <w:rFonts w:ascii="宋体" w:hAnsi="宋体" w:eastAsia="宋体" w:cs="宋体"/>
                <w:b/>
                <w:sz w:val="20"/>
                <w:szCs w:val="20"/>
              </w:rPr>
              <w:t xml:space="preserve">单位：038001_长沙市天心区妇女联合会 </w:t>
            </w:r>
          </w:p>
        </w:tc>
        <w:tc>
          <w:tcPr>
            <w:tcW w:w="377"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3"/>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总计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一般公共预算 拨款收入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政府性基金预算拨款收入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财政专户管理 资金收入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事业收入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上级补助收入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事业单位 经营收入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其他收入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上年结转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类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款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合计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152.08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152.08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201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一般公共服务支出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123.18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123.18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29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群众团体事务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123.18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123.18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201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29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01 </w:t>
            </w: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行政运行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74.62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74.62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201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29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02 </w:t>
            </w: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一般行政管理事务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208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社会保障和就业支出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行政事业单位养老支出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208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机关事业单位基本养老保险缴费支出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5.18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5.18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208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06 </w:t>
            </w: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机关事业单位职业年金缴费支出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2.59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2.59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210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卫生健康支出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11.98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11.98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07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计划生育事务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210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07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17 </w:t>
            </w: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计划生育服务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11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行政事业单位医疗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210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11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01 </w:t>
            </w: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行政单位医疗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221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住房保障支出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02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住房改革支出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221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02 </w:t>
            </w:r>
          </w:p>
        </w:tc>
        <w:tc>
          <w:tcPr>
            <w:tcW w:w="18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01 </w:t>
            </w:r>
          </w:p>
        </w:tc>
        <w:tc>
          <w:tcPr>
            <w:tcW w:w="9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住房公积金 </w:t>
            </w:r>
          </w:p>
        </w:tc>
        <w:tc>
          <w:tcPr>
            <w:tcW w:w="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37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4"/>
          <w:szCs w:val="24"/>
        </w:rPr>
        <w:t>注：本表反映部门本年度取得的各项收入情况。本表金额转换为万元时，因四舍五入可能存在尾数误差。</w:t>
      </w:r>
      <w:r>
        <w:rPr>
          <w:rFonts w:ascii="宋体" w:hAnsi="宋体" w:eastAsia="宋体" w:cs="宋体"/>
          <w:color w:val="000000"/>
          <w:sz w:val="32"/>
          <w:szCs w:val="32"/>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p>
      <w:pPr>
        <w:pStyle w:val="2"/>
        <w:keepNext w:val="0"/>
        <w:keepLines w:val="0"/>
        <w:widowControl/>
        <w:suppressLineNumbers w:val="0"/>
        <w:spacing w:before="0" w:beforeAutospacing="0" w:after="2" w:afterAutospacing="0"/>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0"/>
        <w:gridCol w:w="757"/>
        <w:gridCol w:w="757"/>
        <w:gridCol w:w="4240"/>
        <w:gridCol w:w="2018"/>
        <w:gridCol w:w="1514"/>
        <w:gridCol w:w="1514"/>
        <w:gridCol w:w="1514"/>
        <w:gridCol w:w="1517"/>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15" w:type="pct"/>
            <w:shd w:val="clear" w:color="auto" w:fill="auto"/>
            <w:vAlign w:val="center"/>
          </w:tcPr>
          <w:p>
            <w:pPr>
              <w:pStyle w:val="2"/>
              <w:keepNext w:val="0"/>
              <w:keepLines w:val="0"/>
              <w:widowControl/>
              <w:suppressLineNumbers w:val="0"/>
            </w:pPr>
          </w:p>
        </w:tc>
        <w:tc>
          <w:tcPr>
            <w:tcW w:w="236" w:type="pct"/>
            <w:shd w:val="clear" w:color="auto" w:fill="auto"/>
            <w:vAlign w:val="center"/>
          </w:tcPr>
          <w:p>
            <w:pPr>
              <w:pStyle w:val="2"/>
              <w:keepNext w:val="0"/>
              <w:keepLines w:val="0"/>
              <w:widowControl/>
              <w:suppressLineNumbers w:val="0"/>
            </w:pPr>
          </w:p>
        </w:tc>
        <w:tc>
          <w:tcPr>
            <w:tcW w:w="236" w:type="pct"/>
            <w:shd w:val="clear" w:color="auto" w:fill="auto"/>
            <w:vAlign w:val="center"/>
          </w:tcPr>
          <w:p>
            <w:pPr>
              <w:pStyle w:val="2"/>
              <w:keepNext w:val="0"/>
              <w:keepLines w:val="0"/>
              <w:widowControl/>
              <w:suppressLineNumbers w:val="0"/>
            </w:pPr>
          </w:p>
        </w:tc>
        <w:tc>
          <w:tcPr>
            <w:tcW w:w="1322" w:type="pct"/>
            <w:shd w:val="clear" w:color="auto" w:fill="auto"/>
            <w:vAlign w:val="center"/>
          </w:tcPr>
          <w:p>
            <w:pPr>
              <w:pStyle w:val="2"/>
              <w:keepNext w:val="0"/>
              <w:keepLines w:val="0"/>
              <w:widowControl/>
              <w:suppressLineNumbers w:val="0"/>
            </w:pPr>
          </w:p>
        </w:tc>
        <w:tc>
          <w:tcPr>
            <w:tcW w:w="629" w:type="pct"/>
            <w:shd w:val="clear" w:color="auto" w:fill="auto"/>
            <w:vAlign w:val="center"/>
          </w:tcPr>
          <w:p>
            <w:pPr>
              <w:pStyle w:val="2"/>
              <w:keepNext w:val="0"/>
              <w:keepLines w:val="0"/>
              <w:widowControl/>
              <w:suppressLineNumbers w:val="0"/>
            </w:pPr>
          </w:p>
        </w:tc>
        <w:tc>
          <w:tcPr>
            <w:tcW w:w="472" w:type="pct"/>
            <w:shd w:val="clear" w:color="auto" w:fill="auto"/>
            <w:vAlign w:val="center"/>
          </w:tcPr>
          <w:p>
            <w:pPr>
              <w:pStyle w:val="2"/>
              <w:keepNext w:val="0"/>
              <w:keepLines w:val="0"/>
              <w:widowControl/>
              <w:suppressLineNumbers w:val="0"/>
            </w:pPr>
          </w:p>
        </w:tc>
        <w:tc>
          <w:tcPr>
            <w:tcW w:w="472" w:type="pct"/>
            <w:shd w:val="clear" w:color="auto" w:fill="auto"/>
            <w:vAlign w:val="center"/>
          </w:tcPr>
          <w:p>
            <w:pPr>
              <w:pStyle w:val="2"/>
              <w:keepNext w:val="0"/>
              <w:keepLines w:val="0"/>
              <w:widowControl/>
              <w:suppressLineNumbers w:val="0"/>
            </w:pPr>
          </w:p>
        </w:tc>
        <w:tc>
          <w:tcPr>
            <w:tcW w:w="472" w:type="pct"/>
            <w:shd w:val="clear" w:color="auto" w:fill="auto"/>
            <w:vAlign w:val="center"/>
          </w:tcPr>
          <w:p>
            <w:pPr>
              <w:pStyle w:val="2"/>
              <w:keepNext w:val="0"/>
              <w:keepLines w:val="0"/>
              <w:widowControl/>
              <w:suppressLineNumbers w:val="0"/>
            </w:pPr>
          </w:p>
        </w:tc>
        <w:tc>
          <w:tcPr>
            <w:tcW w:w="472" w:type="pct"/>
            <w:shd w:val="clear" w:color="auto" w:fill="auto"/>
            <w:vAlign w:val="center"/>
          </w:tcPr>
          <w:p>
            <w:pPr>
              <w:pStyle w:val="2"/>
              <w:keepNext w:val="0"/>
              <w:keepLines w:val="0"/>
              <w:widowControl/>
              <w:suppressLineNumbers w:val="0"/>
            </w:pPr>
          </w:p>
        </w:tc>
        <w:tc>
          <w:tcPr>
            <w:tcW w:w="472"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keepNext w:val="0"/>
              <w:keepLines w:val="0"/>
              <w:widowControl/>
              <w:suppressLineNumbers w:val="0"/>
              <w:jc w:val="center"/>
            </w:pPr>
            <w:r>
              <w:rPr>
                <w:rFonts w:ascii="宋体" w:hAnsi="宋体" w:eastAsia="宋体" w:cs="宋体"/>
                <w:b/>
                <w:sz w:val="38"/>
                <w:szCs w:val="38"/>
              </w:rPr>
              <w:t xml:space="preserve">2022年部门支出总体情况表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527" w:type="pct"/>
            <w:gridSpan w:val="9"/>
            <w:shd w:val="clear" w:color="auto" w:fill="auto"/>
            <w:vAlign w:val="center"/>
          </w:tcPr>
          <w:p>
            <w:pPr>
              <w:pStyle w:val="2"/>
              <w:keepNext w:val="0"/>
              <w:keepLines w:val="0"/>
              <w:widowControl/>
              <w:suppressLineNumbers w:val="0"/>
              <w:jc w:val="left"/>
            </w:pPr>
            <w:r>
              <w:rPr>
                <w:rFonts w:ascii="宋体" w:hAnsi="宋体" w:eastAsia="宋体" w:cs="宋体"/>
                <w:b/>
                <w:sz w:val="22"/>
                <w:szCs w:val="22"/>
              </w:rPr>
              <w:t xml:space="preserve">单位：038001_长沙市天心区妇女联合会 </w:t>
            </w:r>
          </w:p>
        </w:tc>
        <w:tc>
          <w:tcPr>
            <w:tcW w:w="472" w:type="pct"/>
            <w:shd w:val="clear" w:color="auto" w:fill="auto"/>
            <w:vAlign w:val="center"/>
          </w:tcPr>
          <w:p>
            <w:pPr>
              <w:pStyle w:val="2"/>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87"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总计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项目支出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上缴上级支出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事业单位经营支出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对附属单位补助支出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类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款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合计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152.08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103.52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201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一般公共服务支出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123.18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74.62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29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群众团体事务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123.18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74.62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201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29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01 </w:t>
            </w: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行政运行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74.62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74.62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201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29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02 </w:t>
            </w: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一般行政管理事务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208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社会保障和就业支出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行政事业单位养老支出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208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机关事业单位基本养老保险缴费支出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5.18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5.18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208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06 </w:t>
            </w: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机关事业单位职业年金缴费支出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2.59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2.59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210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卫生健康支出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11.98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11.98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07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计划生育事务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210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07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17 </w:t>
            </w: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计划生育服务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11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行政事业单位医疗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210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11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01 </w:t>
            </w: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行政单位医疗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221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住房保障支出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02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住房改革支出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221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02 </w:t>
            </w:r>
          </w:p>
        </w:tc>
        <w:tc>
          <w:tcPr>
            <w:tcW w:w="2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01 </w:t>
            </w:r>
          </w:p>
        </w:tc>
        <w:tc>
          <w:tcPr>
            <w:tcW w:w="13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住房公积金 </w:t>
            </w:r>
          </w:p>
        </w:tc>
        <w:tc>
          <w:tcPr>
            <w:tcW w:w="62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47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8"/>
          <w:szCs w:val="28"/>
        </w:rPr>
        <w:t>注：本表反映部门本年度各项支出情况。本表金额转换为万元时，因四舍五入可能存在尾数误差。</w:t>
      </w:r>
      <w:r>
        <w:rPr>
          <w:rFonts w:ascii="宋体" w:hAnsi="宋体" w:eastAsia="宋体" w:cs="宋体"/>
          <w:color w:val="000000"/>
          <w:sz w:val="32"/>
          <w:szCs w:val="32"/>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p>
      <w:pPr>
        <w:pStyle w:val="2"/>
        <w:keepNext w:val="0"/>
        <w:keepLines w:val="0"/>
        <w:widowControl/>
        <w:suppressLineNumbers w:val="0"/>
        <w:spacing w:before="0" w:beforeAutospacing="0" w:after="2" w:afterAutospacing="0"/>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29"/>
        <w:gridCol w:w="2005"/>
        <w:gridCol w:w="4086"/>
        <w:gridCol w:w="2005"/>
        <w:gridCol w:w="2008"/>
        <w:gridCol w:w="2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25" w:type="pct"/>
            <w:shd w:val="clear" w:color="auto" w:fill="auto"/>
            <w:vAlign w:val="center"/>
          </w:tcPr>
          <w:p>
            <w:pPr>
              <w:pStyle w:val="2"/>
              <w:keepNext w:val="0"/>
              <w:keepLines w:val="0"/>
              <w:widowControl/>
              <w:suppressLineNumbers w:val="0"/>
            </w:pPr>
          </w:p>
        </w:tc>
        <w:tc>
          <w:tcPr>
            <w:tcW w:w="625" w:type="pct"/>
            <w:shd w:val="clear" w:color="auto" w:fill="auto"/>
            <w:vAlign w:val="center"/>
          </w:tcPr>
          <w:p>
            <w:pPr>
              <w:pStyle w:val="2"/>
              <w:keepNext w:val="0"/>
              <w:keepLines w:val="0"/>
              <w:widowControl/>
              <w:suppressLineNumbers w:val="0"/>
            </w:pPr>
          </w:p>
        </w:tc>
        <w:tc>
          <w:tcPr>
            <w:tcW w:w="1274" w:type="pct"/>
            <w:shd w:val="clear" w:color="auto" w:fill="auto"/>
            <w:vAlign w:val="center"/>
          </w:tcPr>
          <w:p>
            <w:pPr>
              <w:pStyle w:val="2"/>
              <w:keepNext w:val="0"/>
              <w:keepLines w:val="0"/>
              <w:widowControl/>
              <w:suppressLineNumbers w:val="0"/>
            </w:pPr>
          </w:p>
        </w:tc>
        <w:tc>
          <w:tcPr>
            <w:tcW w:w="625" w:type="pct"/>
            <w:shd w:val="clear" w:color="auto" w:fill="auto"/>
            <w:vAlign w:val="center"/>
          </w:tcPr>
          <w:p>
            <w:pPr>
              <w:pStyle w:val="2"/>
              <w:keepNext w:val="0"/>
              <w:keepLines w:val="0"/>
              <w:widowControl/>
              <w:suppressLineNumbers w:val="0"/>
            </w:pPr>
          </w:p>
        </w:tc>
        <w:tc>
          <w:tcPr>
            <w:tcW w:w="625" w:type="pct"/>
            <w:shd w:val="clear" w:color="auto" w:fill="auto"/>
            <w:vAlign w:val="center"/>
          </w:tcPr>
          <w:p>
            <w:pPr>
              <w:pStyle w:val="2"/>
              <w:keepNext w:val="0"/>
              <w:keepLines w:val="0"/>
              <w:widowControl/>
              <w:suppressLineNumbers w:val="0"/>
            </w:pPr>
          </w:p>
        </w:tc>
        <w:tc>
          <w:tcPr>
            <w:tcW w:w="625"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6"/>
            <w:shd w:val="clear" w:color="auto" w:fill="auto"/>
            <w:vAlign w:val="center"/>
          </w:tcPr>
          <w:p>
            <w:pPr>
              <w:pStyle w:val="2"/>
              <w:keepNext w:val="0"/>
              <w:keepLines w:val="0"/>
              <w:widowControl/>
              <w:suppressLineNumbers w:val="0"/>
              <w:jc w:val="center"/>
            </w:pPr>
            <w:r>
              <w:rPr>
                <w:rFonts w:ascii="宋体" w:hAnsi="宋体" w:eastAsia="宋体" w:cs="宋体"/>
                <w:b/>
                <w:sz w:val="38"/>
                <w:szCs w:val="38"/>
              </w:rPr>
              <w:t xml:space="preserve">2022年财政拨款收支总体情况表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375" w:type="pct"/>
            <w:gridSpan w:val="5"/>
            <w:shd w:val="clear" w:color="auto" w:fill="auto"/>
            <w:vAlign w:val="center"/>
          </w:tcPr>
          <w:p>
            <w:pPr>
              <w:pStyle w:val="2"/>
              <w:keepNext w:val="0"/>
              <w:keepLines w:val="0"/>
              <w:widowControl/>
              <w:suppressLineNumbers w:val="0"/>
              <w:jc w:val="left"/>
            </w:pPr>
            <w:r>
              <w:rPr>
                <w:rFonts w:ascii="宋体" w:hAnsi="宋体" w:eastAsia="宋体" w:cs="宋体"/>
                <w:b/>
                <w:sz w:val="22"/>
                <w:szCs w:val="22"/>
              </w:rPr>
              <w:t xml:space="preserve">单位：038001_长沙市天心区妇女联合会 </w:t>
            </w:r>
          </w:p>
        </w:tc>
        <w:tc>
          <w:tcPr>
            <w:tcW w:w="625"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6"/>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50"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2"/>
                <w:szCs w:val="22"/>
              </w:rPr>
              <w:t xml:space="preserve">收 入 </w:t>
            </w:r>
          </w:p>
        </w:tc>
        <w:tc>
          <w:tcPr>
            <w:tcW w:w="3149"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2"/>
                <w:szCs w:val="22"/>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0"/>
                <w:szCs w:val="20"/>
              </w:rPr>
              <w:t xml:space="preserve">项目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0"/>
                <w:szCs w:val="20"/>
              </w:rPr>
              <w:t xml:space="preserve">预算数 </w:t>
            </w: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0"/>
                <w:szCs w:val="20"/>
              </w:rPr>
              <w:t xml:space="preserve">项目 </w:t>
            </w:r>
          </w:p>
        </w:tc>
        <w:tc>
          <w:tcPr>
            <w:tcW w:w="625" w:type="pct"/>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合计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0"/>
                <w:szCs w:val="20"/>
              </w:rPr>
              <w:t xml:space="preserve">一般公共预算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0"/>
                <w:szCs w:val="20"/>
              </w:rPr>
              <w:t xml:space="preserve">政府性基金预算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一、本年收入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152.08 </w:t>
            </w: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一、本年支出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152.08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152.08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（一）一般公共预算拨款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152.08 </w:t>
            </w: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一、[201]一般公共服务支出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123.18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123.18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（二）政府性基金预算拨款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二、[202]外交支出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（三）国有资本经营预算拨款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三、[203]国防支出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二、上年结转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四、[204]公共安全支出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（一）一般公共预算拨款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五、[205]教育支出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（二）政府性基金预算拨款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六、[206]科学技术支出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（三）国有资本经营预算拨款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七、[207]文化旅游体育与传媒支出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八、[208]社会保障和就业支出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九、[209]社会保险基金支出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十、[210]卫生健康支出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11.98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11.98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十一、[211]节能环保支出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十二、[212]城乡社区支出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十三、[213]农林水支出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十四、[214]交通运输支出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十五、[215]资源勘探工业信息等支出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十六、[216]商业服务业等支出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十七、[217]金融支出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十八、[219]援助其他地区支出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十九、[220]自然资源海洋气象等支出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二十、[221]住房保障支出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二十一、[222]粮油物资储备支出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二十二、[223]国有资本经营预算支出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二十三、[224]灾害防治及应急管理支出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二十四、[227]预备费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二十五、[229]其他支出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二十六、[230]转移性支出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二十七、[231]债务还本支出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二十八、[232]债务付息支出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二十九、[233]债务发行费用支出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三十、[234]抗疫特别国债安排的支出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r>
              <w:rPr>
                <w:rFonts w:ascii="宋体" w:hAnsi="宋体" w:eastAsia="宋体" w:cs="宋体"/>
                <w:b w:val="0"/>
                <w:sz w:val="18"/>
                <w:szCs w:val="18"/>
              </w:rPr>
              <w:t xml:space="preserve">二、结转下年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2"/>
                <w:szCs w:val="22"/>
              </w:rPr>
              <w:t xml:space="preserve">收入总计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sz w:val="22"/>
                <w:szCs w:val="22"/>
              </w:rPr>
              <w:t xml:space="preserve">152.08 </w:t>
            </w:r>
          </w:p>
        </w:tc>
        <w:tc>
          <w:tcPr>
            <w:tcW w:w="127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22"/>
                <w:szCs w:val="22"/>
              </w:rPr>
              <w:t xml:space="preserve">支出总计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sz w:val="18"/>
                <w:szCs w:val="18"/>
              </w:rPr>
              <w:t xml:space="preserve">152.08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sz w:val="22"/>
                <w:szCs w:val="22"/>
              </w:rPr>
              <w:t xml:space="preserve">152.08 </w:t>
            </w:r>
          </w:p>
        </w:tc>
        <w:tc>
          <w:tcPr>
            <w:tcW w:w="62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4"/>
          <w:szCs w:val="24"/>
        </w:rPr>
        <w:t>注：本表反映部门本年度一般公共预算财政拨款、政府性基金预算财政拨款和国有资本经营预算财政拨款的总收支和年末结转结余情况。本表金额转换为万元时，因四舍五入可能存在尾数误差。</w:t>
      </w:r>
      <w:r>
        <w:rPr>
          <w:rFonts w:ascii="宋体" w:hAnsi="宋体" w:eastAsia="宋体" w:cs="宋体"/>
          <w:color w:val="000000"/>
          <w:sz w:val="32"/>
          <w:szCs w:val="32"/>
        </w:rPr>
        <w:t xml:space="preserve"> </w:t>
      </w:r>
    </w:p>
    <w:p>
      <w:pPr>
        <w:pStyle w:val="2"/>
        <w:keepNext w:val="0"/>
        <w:keepLines w:val="0"/>
        <w:widowControl/>
        <w:suppressLineNumbers w:val="0"/>
      </w:pPr>
    </w:p>
    <w:p>
      <w:pPr>
        <w:rPr>
          <w:rFonts w:ascii="宋体" w:hAnsi="宋体" w:eastAsia="宋体" w:cs="宋体"/>
          <w:color w:val="000000"/>
          <w:sz w:val="32"/>
          <w:szCs w:val="32"/>
        </w:rPr>
        <w:sectPr>
          <w:pgSz w:w="16838" w:h="11906"/>
          <w:pgMar w:top="1080" w:right="400" w:bottom="1080" w:left="400" w:header="851" w:footer="992" w:gutter="0"/>
          <w:cols w:space="0" w:num="1"/>
          <w:docGrid w:type="linesAndChars" w:linePitch="160" w:charSpace="0"/>
        </w:sectPr>
      </w:pPr>
    </w:p>
    <w:p>
      <w:pPr>
        <w:pStyle w:val="2"/>
        <w:keepNext w:val="0"/>
        <w:keepLines w:val="0"/>
        <w:widowControl/>
        <w:suppressLineNumbers w:val="0"/>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43"/>
        <w:gridCol w:w="924"/>
        <w:gridCol w:w="927"/>
        <w:gridCol w:w="5309"/>
        <w:gridCol w:w="2675"/>
        <w:gridCol w:w="2682"/>
        <w:gridCol w:w="2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63" w:type="pct"/>
            <w:shd w:val="clear" w:color="auto" w:fill="auto"/>
            <w:vAlign w:val="center"/>
          </w:tcPr>
          <w:p>
            <w:pPr>
              <w:pStyle w:val="2"/>
              <w:keepNext w:val="0"/>
              <w:keepLines w:val="0"/>
              <w:widowControl/>
              <w:suppressLineNumbers w:val="0"/>
            </w:pPr>
          </w:p>
        </w:tc>
        <w:tc>
          <w:tcPr>
            <w:tcW w:w="288" w:type="pct"/>
            <w:shd w:val="clear" w:color="auto" w:fill="auto"/>
            <w:vAlign w:val="center"/>
          </w:tcPr>
          <w:p>
            <w:pPr>
              <w:pStyle w:val="2"/>
              <w:keepNext w:val="0"/>
              <w:keepLines w:val="0"/>
              <w:widowControl/>
              <w:suppressLineNumbers w:val="0"/>
            </w:pPr>
          </w:p>
        </w:tc>
        <w:tc>
          <w:tcPr>
            <w:tcW w:w="288" w:type="pct"/>
            <w:shd w:val="clear" w:color="auto" w:fill="auto"/>
            <w:vAlign w:val="center"/>
          </w:tcPr>
          <w:p>
            <w:pPr>
              <w:pStyle w:val="2"/>
              <w:keepNext w:val="0"/>
              <w:keepLines w:val="0"/>
              <w:widowControl/>
              <w:suppressLineNumbers w:val="0"/>
            </w:pPr>
          </w:p>
        </w:tc>
        <w:tc>
          <w:tcPr>
            <w:tcW w:w="1655" w:type="pct"/>
            <w:shd w:val="clear" w:color="auto" w:fill="auto"/>
            <w:vAlign w:val="center"/>
          </w:tcPr>
          <w:p>
            <w:pPr>
              <w:pStyle w:val="2"/>
              <w:keepNext w:val="0"/>
              <w:keepLines w:val="0"/>
              <w:widowControl/>
              <w:suppressLineNumbers w:val="0"/>
            </w:pPr>
          </w:p>
        </w:tc>
        <w:tc>
          <w:tcPr>
            <w:tcW w:w="834" w:type="pct"/>
            <w:shd w:val="clear" w:color="auto" w:fill="auto"/>
            <w:vAlign w:val="center"/>
          </w:tcPr>
          <w:p>
            <w:pPr>
              <w:pStyle w:val="2"/>
              <w:keepNext w:val="0"/>
              <w:keepLines w:val="0"/>
              <w:widowControl/>
              <w:suppressLineNumbers w:val="0"/>
            </w:pPr>
          </w:p>
        </w:tc>
        <w:tc>
          <w:tcPr>
            <w:tcW w:w="834" w:type="pct"/>
            <w:shd w:val="clear" w:color="auto" w:fill="auto"/>
            <w:vAlign w:val="center"/>
          </w:tcPr>
          <w:p>
            <w:pPr>
              <w:pStyle w:val="2"/>
              <w:keepNext w:val="0"/>
              <w:keepLines w:val="0"/>
              <w:widowControl/>
              <w:suppressLineNumbers w:val="0"/>
            </w:pPr>
          </w:p>
        </w:tc>
        <w:tc>
          <w:tcPr>
            <w:tcW w:w="834"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keepNext w:val="0"/>
              <w:keepLines w:val="0"/>
              <w:widowControl/>
              <w:suppressLineNumbers w:val="0"/>
              <w:jc w:val="center"/>
            </w:pPr>
            <w:r>
              <w:rPr>
                <w:rFonts w:ascii="宋体" w:hAnsi="宋体" w:eastAsia="宋体" w:cs="宋体"/>
                <w:b/>
                <w:sz w:val="38"/>
                <w:szCs w:val="38"/>
              </w:rPr>
              <w:t xml:space="preserve">2022年一般公共预算支出情况表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165" w:type="pct"/>
            <w:gridSpan w:val="6"/>
            <w:shd w:val="clear" w:color="auto" w:fill="auto"/>
            <w:vAlign w:val="center"/>
          </w:tcPr>
          <w:p>
            <w:pPr>
              <w:pStyle w:val="2"/>
              <w:keepNext w:val="0"/>
              <w:keepLines w:val="0"/>
              <w:widowControl/>
              <w:suppressLineNumbers w:val="0"/>
              <w:jc w:val="left"/>
            </w:pPr>
            <w:r>
              <w:rPr>
                <w:rFonts w:ascii="宋体" w:hAnsi="宋体" w:eastAsia="宋体" w:cs="宋体"/>
                <w:b/>
                <w:sz w:val="18"/>
                <w:szCs w:val="18"/>
              </w:rPr>
              <w:t xml:space="preserve">单位：038001_长沙市天心区妇女联合会 </w:t>
            </w:r>
          </w:p>
        </w:tc>
        <w:tc>
          <w:tcPr>
            <w:tcW w:w="834"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4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功能分类科目名称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本年支出合计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类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款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合计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152.08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103.52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201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一般公共服务支出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123.18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74.62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29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群众团体事务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123.18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74.62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201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29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01 </w:t>
            </w: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行政运行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74.62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74.62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201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29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02 </w:t>
            </w: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一般行政管理事务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208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社会保障和就业支出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行政事业单位养老支出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7.78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208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机关事业单位基本养老保险缴费支出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5.18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5.18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208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06 </w:t>
            </w: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机关事业单位职业年金缴费支出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2.59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2.59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210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卫生健康支出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11.98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11.98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07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计划生育事务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210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07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17 </w:t>
            </w: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计划生育服务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11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行政事业单位医疗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210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11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01 </w:t>
            </w: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行政单位医疗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11.59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221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住房保障支出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02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住房改革支出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221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02 </w:t>
            </w:r>
          </w:p>
        </w:tc>
        <w:tc>
          <w:tcPr>
            <w:tcW w:w="28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01 </w:t>
            </w:r>
          </w:p>
        </w:tc>
        <w:tc>
          <w:tcPr>
            <w:tcW w:w="16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住房公积金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8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4"/>
          <w:szCs w:val="24"/>
        </w:rPr>
        <w:t xml:space="preserve">注：本表反映部门本年度一般公共预算财政拨款支出情况。本表金额转换为万元时，因四舍五入可能存在尾数误差。 </w:t>
      </w:r>
    </w:p>
    <w:p>
      <w:pPr>
        <w:rPr>
          <w:color w:val="000000"/>
        </w:rPr>
        <w:sectPr>
          <w:pgSz w:w="16838" w:h="11906"/>
          <w:pgMar w:top="1080" w:right="400" w:bottom="1080" w:left="400" w:header="851" w:footer="992" w:gutter="0"/>
          <w:cols w:space="0" w:num="1"/>
          <w:docGrid w:type="linesAndChars" w:linePitch="160" w:charSpace="0"/>
        </w:sectPr>
      </w:pPr>
    </w:p>
    <w:p>
      <w:pPr>
        <w:pStyle w:val="2"/>
        <w:keepNext w:val="0"/>
        <w:keepLines w:val="0"/>
        <w:widowControl/>
        <w:suppressLineNumbers w:val="0"/>
        <w:spacing w:before="0" w:beforeAutospacing="0" w:after="2" w:afterAutospacing="0"/>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11"/>
        <w:gridCol w:w="4824"/>
        <w:gridCol w:w="2698"/>
        <w:gridCol w:w="2704"/>
        <w:gridCol w:w="2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0" w:type="pct"/>
            <w:shd w:val="clear" w:color="auto" w:fill="auto"/>
            <w:vAlign w:val="center"/>
          </w:tcPr>
          <w:p>
            <w:pPr>
              <w:pStyle w:val="2"/>
              <w:keepNext w:val="0"/>
              <w:keepLines w:val="0"/>
              <w:widowControl/>
              <w:suppressLineNumbers w:val="0"/>
            </w:pPr>
          </w:p>
        </w:tc>
        <w:tc>
          <w:tcPr>
            <w:tcW w:w="1503" w:type="pct"/>
            <w:shd w:val="clear" w:color="auto" w:fill="auto"/>
            <w:vAlign w:val="center"/>
          </w:tcPr>
          <w:p>
            <w:pPr>
              <w:pStyle w:val="2"/>
              <w:keepNext w:val="0"/>
              <w:keepLines w:val="0"/>
              <w:widowControl/>
              <w:suppressLineNumbers w:val="0"/>
            </w:pPr>
          </w:p>
        </w:tc>
        <w:tc>
          <w:tcPr>
            <w:tcW w:w="841" w:type="pct"/>
            <w:shd w:val="clear" w:color="auto" w:fill="auto"/>
            <w:vAlign w:val="center"/>
          </w:tcPr>
          <w:p>
            <w:pPr>
              <w:pStyle w:val="2"/>
              <w:keepNext w:val="0"/>
              <w:keepLines w:val="0"/>
              <w:widowControl/>
              <w:suppressLineNumbers w:val="0"/>
            </w:pPr>
          </w:p>
        </w:tc>
        <w:tc>
          <w:tcPr>
            <w:tcW w:w="841" w:type="pct"/>
            <w:shd w:val="clear" w:color="auto" w:fill="auto"/>
            <w:vAlign w:val="center"/>
          </w:tcPr>
          <w:p>
            <w:pPr>
              <w:pStyle w:val="2"/>
              <w:keepNext w:val="0"/>
              <w:keepLines w:val="0"/>
              <w:widowControl/>
              <w:suppressLineNumbers w:val="0"/>
            </w:pPr>
          </w:p>
        </w:tc>
        <w:tc>
          <w:tcPr>
            <w:tcW w:w="841"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5"/>
            <w:shd w:val="clear" w:color="auto" w:fill="auto"/>
            <w:vAlign w:val="center"/>
          </w:tcPr>
          <w:p>
            <w:pPr>
              <w:pStyle w:val="2"/>
              <w:keepNext w:val="0"/>
              <w:keepLines w:val="0"/>
              <w:widowControl/>
              <w:suppressLineNumbers w:val="0"/>
              <w:jc w:val="center"/>
            </w:pPr>
            <w:r>
              <w:rPr>
                <w:rFonts w:ascii="宋体" w:hAnsi="宋体" w:eastAsia="宋体" w:cs="宋体"/>
                <w:b/>
                <w:sz w:val="38"/>
                <w:szCs w:val="38"/>
              </w:rPr>
              <w:t xml:space="preserve">2022年一般公共预算基本支出情况表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158" w:type="pct"/>
            <w:gridSpan w:val="4"/>
            <w:shd w:val="clear" w:color="auto" w:fill="auto"/>
            <w:vAlign w:val="center"/>
          </w:tcPr>
          <w:p>
            <w:pPr>
              <w:pStyle w:val="2"/>
              <w:keepNext w:val="0"/>
              <w:keepLines w:val="0"/>
              <w:widowControl/>
              <w:suppressLineNumbers w:val="0"/>
              <w:jc w:val="left"/>
            </w:pPr>
            <w:r>
              <w:rPr>
                <w:rFonts w:ascii="宋体" w:hAnsi="宋体" w:eastAsia="宋体" w:cs="宋体"/>
                <w:b/>
                <w:sz w:val="22"/>
                <w:szCs w:val="22"/>
              </w:rPr>
              <w:t xml:space="preserve">单位：038001_长沙市天心区妇女联合会 </w:t>
            </w:r>
          </w:p>
        </w:tc>
        <w:tc>
          <w:tcPr>
            <w:tcW w:w="841"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5"/>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74"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部门预算支出经济分类科目 </w:t>
            </w:r>
          </w:p>
        </w:tc>
        <w:tc>
          <w:tcPr>
            <w:tcW w:w="252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本年一般公共预算基本支出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科目编码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科目名称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合计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人员经费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sz w:val="18"/>
                <w:szCs w:val="18"/>
              </w:rPr>
              <w:t xml:space="preserve">合计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sz w:val="18"/>
                <w:szCs w:val="18"/>
              </w:rPr>
              <w:t xml:space="preserve">103.52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sz w:val="18"/>
                <w:szCs w:val="18"/>
              </w:rPr>
              <w:t xml:space="preserve">89.18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sz w:val="18"/>
                <w:szCs w:val="18"/>
              </w:rPr>
              <w:t xml:space="preserve">14.34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工资福利支出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78.34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78.34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30101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基本工资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14.91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14.91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30102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津贴补贴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11.69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11.69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30103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奖金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2.37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2.37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30107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绩效工资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3.33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3.33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30108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机关事业单位基本养老保险缴费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5.18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5.18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30109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职业年金缴费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2.59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2.59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30110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职工基本医疗保险缴费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2.82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2.82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30111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公务员医疗补助缴费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4.64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4.64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30112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其他社会保障缴费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0.16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0.16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30113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住房公积金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9.15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30199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其他工资福利支出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21.49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21.49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302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商品和服务支出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14.34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14.34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30201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办公费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3.00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30207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邮电费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0.16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30217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公务接待费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0.30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30227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委托业务费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2.00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30228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工会经费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1.80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30229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福利费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1.47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30239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其他交通费用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3.07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3.07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30299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其他商品和服务支出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2.54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303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对个人和家庭的补助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10.84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10.84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30301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离休费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0.38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30302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退休费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6.49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6.49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97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30305 </w:t>
            </w:r>
          </w:p>
        </w:tc>
        <w:tc>
          <w:tcPr>
            <w:tcW w:w="150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val="0"/>
                <w:sz w:val="18"/>
                <w:szCs w:val="18"/>
              </w:rPr>
              <w:t xml:space="preserve">生活补助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3.97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3.97 </w:t>
            </w:r>
          </w:p>
        </w:tc>
        <w:tc>
          <w:tcPr>
            <w:tcW w:w="84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bl>
    <w:p>
      <w:pPr>
        <w:keepNext w:val="0"/>
        <w:keepLines w:val="0"/>
        <w:widowControl/>
        <w:suppressLineNumbers w:val="0"/>
        <w:jc w:val="left"/>
      </w:pPr>
      <w:r>
        <w:rPr>
          <w:rFonts w:ascii="宋体" w:hAnsi="宋体" w:eastAsia="宋体" w:cs="宋体"/>
          <w:color w:val="000000"/>
          <w:sz w:val="24"/>
          <w:szCs w:val="24"/>
        </w:rPr>
        <w:t>注：本表反映部门本年度一般公共预算财政拨款基本支出明细情况。本表金额转换为万元时，因四舍五入可能存在尾数误差。</w:t>
      </w:r>
      <w:r>
        <w:rPr>
          <w:rFonts w:ascii="宋体" w:hAnsi="宋体" w:eastAsia="宋体" w:cs="宋体"/>
          <w:color w:val="000000"/>
          <w:sz w:val="32"/>
          <w:szCs w:val="32"/>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p>
      <w:pPr>
        <w:keepNext w:val="0"/>
        <w:keepLines w:val="0"/>
        <w:widowControl/>
        <w:suppressLineNumbers w:val="0"/>
        <w:jc w:val="left"/>
        <w:rPr>
          <w:rFonts w:ascii="宋体" w:hAnsi="宋体" w:eastAsia="宋体" w:cs="宋体"/>
          <w:color w:val="000000"/>
          <w:sz w:val="32"/>
          <w:szCs w:val="32"/>
        </w:rPr>
      </w:pPr>
    </w:p>
    <w:p>
      <w:pPr>
        <w:pStyle w:val="2"/>
        <w:keepNext w:val="0"/>
        <w:keepLines w:val="0"/>
        <w:widowControl/>
        <w:suppressLineNumbers w:val="0"/>
        <w:spacing w:before="0" w:beforeAutospacing="0" w:after="2" w:afterAutospacing="0"/>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58"/>
        <w:gridCol w:w="1944"/>
        <w:gridCol w:w="1944"/>
        <w:gridCol w:w="1944"/>
        <w:gridCol w:w="1944"/>
        <w:gridCol w:w="1957"/>
        <w:gridCol w:w="1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359" w:type="pct"/>
            <w:shd w:val="clear" w:color="auto" w:fill="auto"/>
            <w:vAlign w:val="center"/>
          </w:tcPr>
          <w:p>
            <w:pPr>
              <w:pStyle w:val="2"/>
              <w:keepNext w:val="0"/>
              <w:keepLines w:val="0"/>
              <w:widowControl/>
              <w:suppressLineNumbers w:val="0"/>
            </w:pPr>
          </w:p>
        </w:tc>
        <w:tc>
          <w:tcPr>
            <w:tcW w:w="606" w:type="pct"/>
            <w:shd w:val="clear" w:color="auto" w:fill="auto"/>
            <w:vAlign w:val="center"/>
          </w:tcPr>
          <w:p>
            <w:pPr>
              <w:pStyle w:val="2"/>
              <w:keepNext w:val="0"/>
              <w:keepLines w:val="0"/>
              <w:widowControl/>
              <w:suppressLineNumbers w:val="0"/>
            </w:pPr>
          </w:p>
        </w:tc>
        <w:tc>
          <w:tcPr>
            <w:tcW w:w="606" w:type="pct"/>
            <w:shd w:val="clear" w:color="auto" w:fill="auto"/>
            <w:vAlign w:val="center"/>
          </w:tcPr>
          <w:p>
            <w:pPr>
              <w:pStyle w:val="2"/>
              <w:keepNext w:val="0"/>
              <w:keepLines w:val="0"/>
              <w:widowControl/>
              <w:suppressLineNumbers w:val="0"/>
            </w:pPr>
          </w:p>
        </w:tc>
        <w:tc>
          <w:tcPr>
            <w:tcW w:w="606" w:type="pct"/>
            <w:shd w:val="clear" w:color="auto" w:fill="auto"/>
            <w:vAlign w:val="center"/>
          </w:tcPr>
          <w:p>
            <w:pPr>
              <w:pStyle w:val="2"/>
              <w:keepNext w:val="0"/>
              <w:keepLines w:val="0"/>
              <w:widowControl/>
              <w:suppressLineNumbers w:val="0"/>
            </w:pPr>
          </w:p>
        </w:tc>
        <w:tc>
          <w:tcPr>
            <w:tcW w:w="606" w:type="pct"/>
            <w:shd w:val="clear" w:color="auto" w:fill="auto"/>
            <w:vAlign w:val="center"/>
          </w:tcPr>
          <w:p>
            <w:pPr>
              <w:pStyle w:val="2"/>
              <w:keepNext w:val="0"/>
              <w:keepLines w:val="0"/>
              <w:widowControl/>
              <w:suppressLineNumbers w:val="0"/>
            </w:pPr>
          </w:p>
        </w:tc>
        <w:tc>
          <w:tcPr>
            <w:tcW w:w="606" w:type="pct"/>
            <w:shd w:val="clear" w:color="auto" w:fill="auto"/>
            <w:vAlign w:val="center"/>
          </w:tcPr>
          <w:p>
            <w:pPr>
              <w:pStyle w:val="2"/>
              <w:keepNext w:val="0"/>
              <w:keepLines w:val="0"/>
              <w:widowControl/>
              <w:suppressLineNumbers w:val="0"/>
            </w:pPr>
          </w:p>
        </w:tc>
        <w:tc>
          <w:tcPr>
            <w:tcW w:w="606"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keepNext w:val="0"/>
              <w:keepLines w:val="0"/>
              <w:widowControl/>
              <w:suppressLineNumbers w:val="0"/>
              <w:jc w:val="center"/>
            </w:pPr>
            <w:r>
              <w:rPr>
                <w:rFonts w:ascii="宋体" w:hAnsi="宋体" w:eastAsia="宋体" w:cs="宋体"/>
                <w:b/>
                <w:sz w:val="38"/>
                <w:szCs w:val="38"/>
              </w:rPr>
              <w:t xml:space="preserve">2022年一般公共预算“三公”经费支出情况表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393" w:type="pct"/>
            <w:gridSpan w:val="6"/>
            <w:shd w:val="clear" w:color="auto" w:fill="auto"/>
            <w:vAlign w:val="center"/>
          </w:tcPr>
          <w:p>
            <w:pPr>
              <w:pStyle w:val="2"/>
              <w:keepNext w:val="0"/>
              <w:keepLines w:val="0"/>
              <w:widowControl/>
              <w:suppressLineNumbers w:val="0"/>
              <w:jc w:val="left"/>
            </w:pPr>
            <w:r>
              <w:rPr>
                <w:rFonts w:ascii="宋体" w:hAnsi="宋体" w:eastAsia="宋体" w:cs="宋体"/>
                <w:b/>
                <w:sz w:val="22"/>
                <w:szCs w:val="22"/>
              </w:rPr>
              <w:t xml:space="preserve">单位：038001_长沙市天心区妇女联合会 </w:t>
            </w:r>
          </w:p>
        </w:tc>
        <w:tc>
          <w:tcPr>
            <w:tcW w:w="606"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59" w:type="pct"/>
            <w:shd w:val="clear" w:color="auto" w:fill="auto"/>
            <w:vAlign w:val="center"/>
          </w:tcPr>
          <w:p>
            <w:pPr>
              <w:pStyle w:val="2"/>
              <w:keepNext w:val="0"/>
              <w:keepLines w:val="0"/>
              <w:widowControl/>
              <w:suppressLineNumbers w:val="0"/>
            </w:pPr>
          </w:p>
        </w:tc>
        <w:tc>
          <w:tcPr>
            <w:tcW w:w="3640" w:type="pct"/>
            <w:gridSpan w:val="6"/>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部门名称 </w:t>
            </w:r>
          </w:p>
        </w:tc>
        <w:tc>
          <w:tcPr>
            <w:tcW w:w="364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三公经费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“三公”经费合计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因公出国（境）费 </w:t>
            </w:r>
          </w:p>
        </w:tc>
        <w:tc>
          <w:tcPr>
            <w:tcW w:w="182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小计 </w:t>
            </w: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公务用车购置费 </w:t>
            </w: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公务用车运行费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总计： </w:t>
            </w: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sz w:val="18"/>
                <w:szCs w:val="18"/>
              </w:rPr>
              <w:t xml:space="preserve">0.30 </w:t>
            </w: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sz w:val="18"/>
                <w:szCs w:val="18"/>
              </w:rPr>
              <w:t xml:space="preserve">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5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left"/>
            </w:pPr>
            <w:r>
              <w:rPr>
                <w:rFonts w:ascii="宋体" w:hAnsi="宋体" w:eastAsia="宋体" w:cs="宋体"/>
                <w:b/>
                <w:sz w:val="18"/>
                <w:szCs w:val="18"/>
              </w:rPr>
              <w:t xml:space="preserve">038_长沙市天心区妇女联合会 </w:t>
            </w: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0.30 </w:t>
            </w: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60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0.30 </w:t>
            </w:r>
          </w:p>
        </w:tc>
      </w:tr>
    </w:tbl>
    <w:p>
      <w:pPr>
        <w:keepNext w:val="0"/>
        <w:keepLines w:val="0"/>
        <w:widowControl/>
        <w:suppressLineNumbers w:val="0"/>
        <w:jc w:val="left"/>
      </w:pPr>
      <w:r>
        <w:rPr>
          <w:rFonts w:ascii="宋体" w:hAnsi="宋体" w:eastAsia="宋体" w:cs="宋体"/>
          <w:color w:val="000000"/>
          <w:sz w:val="28"/>
          <w:szCs w:val="28"/>
        </w:rPr>
        <w:t>注：本表反映部门本年度“三公”经费支出预算情况。本表金额转换为万元时，因四舍五入可能存在尾数误差。</w:t>
      </w:r>
      <w:r>
        <w:rPr>
          <w:rFonts w:ascii="宋体" w:hAnsi="宋体" w:eastAsia="宋体" w:cs="宋体"/>
          <w:color w:val="000000"/>
          <w:sz w:val="32"/>
          <w:szCs w:val="32"/>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p>
      <w:pPr>
        <w:keepNext w:val="0"/>
        <w:keepLines w:val="0"/>
        <w:widowControl/>
        <w:suppressLineNumbers w:val="0"/>
        <w:jc w:val="left"/>
        <w:rPr>
          <w:rFonts w:ascii="宋体" w:hAnsi="宋体" w:eastAsia="宋体" w:cs="宋体"/>
          <w:color w:val="000000"/>
          <w:sz w:val="32"/>
          <w:szCs w:val="32"/>
        </w:rPr>
      </w:pPr>
    </w:p>
    <w:p>
      <w:pPr>
        <w:pStyle w:val="2"/>
        <w:keepNext w:val="0"/>
        <w:keepLines w:val="0"/>
        <w:widowControl/>
        <w:suppressLineNumbers w:val="0"/>
        <w:spacing w:before="0" w:beforeAutospacing="0" w:after="2" w:afterAutospacing="0"/>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515"/>
        <w:gridCol w:w="4606"/>
        <w:gridCol w:w="2637"/>
        <w:gridCol w:w="2640"/>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96" w:type="pct"/>
            <w:shd w:val="clear" w:color="auto" w:fill="auto"/>
            <w:vAlign w:val="center"/>
          </w:tcPr>
          <w:p>
            <w:pPr>
              <w:pStyle w:val="2"/>
              <w:keepNext w:val="0"/>
              <w:keepLines w:val="0"/>
              <w:widowControl/>
              <w:suppressLineNumbers w:val="0"/>
            </w:pPr>
          </w:p>
        </w:tc>
        <w:tc>
          <w:tcPr>
            <w:tcW w:w="1436" w:type="pct"/>
            <w:shd w:val="clear" w:color="auto" w:fill="auto"/>
            <w:vAlign w:val="center"/>
          </w:tcPr>
          <w:p>
            <w:pPr>
              <w:pStyle w:val="2"/>
              <w:keepNext w:val="0"/>
              <w:keepLines w:val="0"/>
              <w:widowControl/>
              <w:suppressLineNumbers w:val="0"/>
            </w:pPr>
          </w:p>
        </w:tc>
        <w:tc>
          <w:tcPr>
            <w:tcW w:w="822" w:type="pct"/>
            <w:shd w:val="clear" w:color="auto" w:fill="auto"/>
            <w:vAlign w:val="center"/>
          </w:tcPr>
          <w:p>
            <w:pPr>
              <w:pStyle w:val="2"/>
              <w:keepNext w:val="0"/>
              <w:keepLines w:val="0"/>
              <w:widowControl/>
              <w:suppressLineNumbers w:val="0"/>
            </w:pPr>
          </w:p>
        </w:tc>
        <w:tc>
          <w:tcPr>
            <w:tcW w:w="822" w:type="pct"/>
            <w:shd w:val="clear" w:color="auto" w:fill="auto"/>
            <w:vAlign w:val="center"/>
          </w:tcPr>
          <w:p>
            <w:pPr>
              <w:pStyle w:val="2"/>
              <w:keepNext w:val="0"/>
              <w:keepLines w:val="0"/>
              <w:widowControl/>
              <w:suppressLineNumbers w:val="0"/>
            </w:pPr>
          </w:p>
        </w:tc>
        <w:tc>
          <w:tcPr>
            <w:tcW w:w="822"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5"/>
            <w:shd w:val="clear" w:color="auto" w:fill="auto"/>
            <w:vAlign w:val="center"/>
          </w:tcPr>
          <w:p>
            <w:pPr>
              <w:pStyle w:val="2"/>
              <w:keepNext w:val="0"/>
              <w:keepLines w:val="0"/>
              <w:widowControl/>
              <w:suppressLineNumbers w:val="0"/>
              <w:jc w:val="center"/>
            </w:pPr>
            <w:r>
              <w:rPr>
                <w:rFonts w:ascii="宋体" w:hAnsi="宋体" w:eastAsia="宋体" w:cs="宋体"/>
                <w:b/>
                <w:sz w:val="38"/>
                <w:szCs w:val="38"/>
              </w:rPr>
              <w:t xml:space="preserve">2022年政府性基金预算支出情况表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177" w:type="pct"/>
            <w:gridSpan w:val="4"/>
            <w:shd w:val="clear" w:color="auto" w:fill="auto"/>
            <w:vAlign w:val="center"/>
          </w:tcPr>
          <w:p>
            <w:pPr>
              <w:pStyle w:val="2"/>
              <w:keepNext w:val="0"/>
              <w:keepLines w:val="0"/>
              <w:widowControl/>
              <w:suppressLineNumbers w:val="0"/>
              <w:jc w:val="left"/>
            </w:pPr>
            <w:r>
              <w:rPr>
                <w:rFonts w:ascii="宋体" w:hAnsi="宋体" w:eastAsia="宋体" w:cs="宋体"/>
                <w:b/>
                <w:sz w:val="22"/>
                <w:szCs w:val="22"/>
              </w:rPr>
              <w:t xml:space="preserve">单位：038001_长沙市天心区妇女联合会 </w:t>
            </w:r>
          </w:p>
        </w:tc>
        <w:tc>
          <w:tcPr>
            <w:tcW w:w="822"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5"/>
            <w:shd w:val="clear" w:color="auto" w:fill="auto"/>
            <w:vAlign w:val="center"/>
          </w:tcPr>
          <w:p>
            <w:pPr>
              <w:pStyle w:val="2"/>
              <w:keepNext w:val="0"/>
              <w:keepLines w:val="0"/>
              <w:widowControl/>
              <w:suppressLineNumbers w:val="0"/>
              <w:jc w:val="right"/>
            </w:pPr>
            <w:r>
              <w:rPr>
                <w:rFonts w:ascii="宋体" w:hAnsi="宋体" w:eastAsia="宋体" w:cs="宋体"/>
                <w:b w:val="0"/>
                <w:sz w:val="18"/>
                <w:szCs w:val="18"/>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科目名称 </w:t>
            </w:r>
          </w:p>
        </w:tc>
        <w:tc>
          <w:tcPr>
            <w:tcW w:w="2467"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本年政府性基金预算支出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合计 </w:t>
            </w: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基本支出 </w:t>
            </w: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14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合计： </w:t>
            </w:r>
          </w:p>
        </w:tc>
        <w:tc>
          <w:tcPr>
            <w:tcW w:w="143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c>
          <w:tcPr>
            <w:tcW w:w="82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pPr>
          </w:p>
        </w:tc>
      </w:tr>
    </w:tbl>
    <w:p>
      <w:pPr>
        <w:keepNext w:val="0"/>
        <w:keepLines w:val="0"/>
        <w:widowControl/>
        <w:suppressLineNumbers w:val="0"/>
        <w:jc w:val="left"/>
      </w:pPr>
      <w:r>
        <w:rPr>
          <w:rFonts w:ascii="宋体" w:hAnsi="宋体" w:eastAsia="宋体" w:cs="宋体"/>
          <w:color w:val="000000"/>
          <w:sz w:val="24"/>
          <w:szCs w:val="24"/>
        </w:rPr>
        <w:t>注：此表为空表，表示本部门无相关收支情况。</w:t>
      </w:r>
      <w:r>
        <w:rPr>
          <w:rFonts w:ascii="宋体" w:hAnsi="宋体" w:eastAsia="宋体" w:cs="宋体"/>
          <w:color w:val="000000"/>
          <w:sz w:val="32"/>
          <w:szCs w:val="32"/>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p>
      <w:pPr>
        <w:keepNext w:val="0"/>
        <w:keepLines w:val="0"/>
        <w:widowControl/>
        <w:suppressLineNumbers w:val="0"/>
        <w:jc w:val="left"/>
        <w:rPr>
          <w:rFonts w:ascii="宋体" w:hAnsi="宋体" w:eastAsia="宋体" w:cs="宋体"/>
          <w:color w:val="000000"/>
          <w:sz w:val="32"/>
          <w:szCs w:val="32"/>
        </w:rPr>
      </w:pPr>
    </w:p>
    <w:p>
      <w:pPr>
        <w:pStyle w:val="2"/>
        <w:keepNext w:val="0"/>
        <w:keepLines w:val="0"/>
        <w:widowControl/>
        <w:suppressLineNumbers w:val="0"/>
        <w:spacing w:before="0" w:beforeAutospacing="0" w:after="2" w:afterAutospacing="0"/>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92"/>
        <w:gridCol w:w="1261"/>
        <w:gridCol w:w="876"/>
        <w:gridCol w:w="1039"/>
        <w:gridCol w:w="2970"/>
        <w:gridCol w:w="965"/>
        <w:gridCol w:w="965"/>
        <w:gridCol w:w="965"/>
        <w:gridCol w:w="593"/>
        <w:gridCol w:w="2524"/>
        <w:gridCol w:w="892"/>
        <w:gridCol w:w="593"/>
        <w:gridCol w:w="607"/>
        <w:gridCol w:w="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78" w:type="pct"/>
            <w:shd w:val="clear" w:color="auto" w:fill="auto"/>
            <w:vAlign w:val="center"/>
          </w:tcPr>
          <w:p>
            <w:pPr>
              <w:pStyle w:val="2"/>
              <w:keepNext w:val="0"/>
              <w:keepLines w:val="0"/>
              <w:widowControl/>
              <w:suppressLineNumbers w:val="0"/>
            </w:pPr>
          </w:p>
        </w:tc>
        <w:tc>
          <w:tcPr>
            <w:tcW w:w="393" w:type="pct"/>
            <w:shd w:val="clear" w:color="auto" w:fill="auto"/>
            <w:vAlign w:val="center"/>
          </w:tcPr>
          <w:p>
            <w:pPr>
              <w:pStyle w:val="2"/>
              <w:keepNext w:val="0"/>
              <w:keepLines w:val="0"/>
              <w:widowControl/>
              <w:suppressLineNumbers w:val="0"/>
            </w:pPr>
          </w:p>
        </w:tc>
        <w:tc>
          <w:tcPr>
            <w:tcW w:w="273" w:type="pct"/>
            <w:shd w:val="clear" w:color="auto" w:fill="auto"/>
            <w:vAlign w:val="center"/>
          </w:tcPr>
          <w:p>
            <w:pPr>
              <w:pStyle w:val="2"/>
              <w:keepNext w:val="0"/>
              <w:keepLines w:val="0"/>
              <w:widowControl/>
              <w:suppressLineNumbers w:val="0"/>
            </w:pPr>
          </w:p>
        </w:tc>
        <w:tc>
          <w:tcPr>
            <w:tcW w:w="324" w:type="pct"/>
            <w:shd w:val="clear" w:color="auto" w:fill="auto"/>
            <w:vAlign w:val="center"/>
          </w:tcPr>
          <w:p>
            <w:pPr>
              <w:pStyle w:val="2"/>
              <w:keepNext w:val="0"/>
              <w:keepLines w:val="0"/>
              <w:widowControl/>
              <w:suppressLineNumbers w:val="0"/>
            </w:pPr>
          </w:p>
        </w:tc>
        <w:tc>
          <w:tcPr>
            <w:tcW w:w="926" w:type="pct"/>
            <w:shd w:val="clear" w:color="auto" w:fill="auto"/>
            <w:vAlign w:val="center"/>
          </w:tcPr>
          <w:p>
            <w:pPr>
              <w:pStyle w:val="2"/>
              <w:keepNext w:val="0"/>
              <w:keepLines w:val="0"/>
              <w:widowControl/>
              <w:suppressLineNumbers w:val="0"/>
            </w:pPr>
          </w:p>
        </w:tc>
        <w:tc>
          <w:tcPr>
            <w:tcW w:w="301" w:type="pct"/>
            <w:shd w:val="clear" w:color="auto" w:fill="auto"/>
            <w:vAlign w:val="center"/>
          </w:tcPr>
          <w:p>
            <w:pPr>
              <w:pStyle w:val="2"/>
              <w:keepNext w:val="0"/>
              <w:keepLines w:val="0"/>
              <w:widowControl/>
              <w:suppressLineNumbers w:val="0"/>
            </w:pPr>
          </w:p>
        </w:tc>
        <w:tc>
          <w:tcPr>
            <w:tcW w:w="301" w:type="pct"/>
            <w:shd w:val="clear" w:color="auto" w:fill="auto"/>
            <w:vAlign w:val="center"/>
          </w:tcPr>
          <w:p>
            <w:pPr>
              <w:pStyle w:val="2"/>
              <w:keepNext w:val="0"/>
              <w:keepLines w:val="0"/>
              <w:widowControl/>
              <w:suppressLineNumbers w:val="0"/>
            </w:pPr>
          </w:p>
        </w:tc>
        <w:tc>
          <w:tcPr>
            <w:tcW w:w="301" w:type="pct"/>
            <w:shd w:val="clear" w:color="auto" w:fill="auto"/>
            <w:vAlign w:val="center"/>
          </w:tcPr>
          <w:p>
            <w:pPr>
              <w:pStyle w:val="2"/>
              <w:keepNext w:val="0"/>
              <w:keepLines w:val="0"/>
              <w:widowControl/>
              <w:suppressLineNumbers w:val="0"/>
            </w:pPr>
          </w:p>
        </w:tc>
        <w:tc>
          <w:tcPr>
            <w:tcW w:w="185" w:type="pct"/>
            <w:shd w:val="clear" w:color="auto" w:fill="auto"/>
            <w:vAlign w:val="center"/>
          </w:tcPr>
          <w:p>
            <w:pPr>
              <w:pStyle w:val="2"/>
              <w:keepNext w:val="0"/>
              <w:keepLines w:val="0"/>
              <w:widowControl/>
              <w:suppressLineNumbers w:val="0"/>
            </w:pPr>
          </w:p>
        </w:tc>
        <w:tc>
          <w:tcPr>
            <w:tcW w:w="787" w:type="pct"/>
            <w:shd w:val="clear" w:color="auto" w:fill="auto"/>
            <w:vAlign w:val="center"/>
          </w:tcPr>
          <w:p>
            <w:pPr>
              <w:pStyle w:val="2"/>
              <w:keepNext w:val="0"/>
              <w:keepLines w:val="0"/>
              <w:widowControl/>
              <w:suppressLineNumbers w:val="0"/>
            </w:pPr>
          </w:p>
        </w:tc>
        <w:tc>
          <w:tcPr>
            <w:tcW w:w="278" w:type="pct"/>
            <w:shd w:val="clear" w:color="auto" w:fill="auto"/>
            <w:vAlign w:val="center"/>
          </w:tcPr>
          <w:p>
            <w:pPr>
              <w:pStyle w:val="2"/>
              <w:keepNext w:val="0"/>
              <w:keepLines w:val="0"/>
              <w:widowControl/>
              <w:suppressLineNumbers w:val="0"/>
            </w:pPr>
          </w:p>
        </w:tc>
        <w:tc>
          <w:tcPr>
            <w:tcW w:w="185" w:type="pct"/>
            <w:shd w:val="clear" w:color="auto" w:fill="auto"/>
            <w:vAlign w:val="center"/>
          </w:tcPr>
          <w:p>
            <w:pPr>
              <w:pStyle w:val="2"/>
              <w:keepNext w:val="0"/>
              <w:keepLines w:val="0"/>
              <w:widowControl/>
              <w:suppressLineNumbers w:val="0"/>
            </w:pPr>
          </w:p>
        </w:tc>
        <w:tc>
          <w:tcPr>
            <w:tcW w:w="185" w:type="pct"/>
            <w:shd w:val="clear" w:color="auto" w:fill="auto"/>
            <w:vAlign w:val="center"/>
          </w:tcPr>
          <w:p>
            <w:pPr>
              <w:pStyle w:val="2"/>
              <w:keepNext w:val="0"/>
              <w:keepLines w:val="0"/>
              <w:widowControl/>
              <w:suppressLineNumbers w:val="0"/>
            </w:pPr>
          </w:p>
        </w:tc>
        <w:tc>
          <w:tcPr>
            <w:tcW w:w="278"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4"/>
            <w:shd w:val="clear" w:color="auto" w:fill="auto"/>
            <w:vAlign w:val="center"/>
          </w:tcPr>
          <w:p>
            <w:pPr>
              <w:pStyle w:val="2"/>
              <w:keepNext w:val="0"/>
              <w:keepLines w:val="0"/>
              <w:widowControl/>
              <w:suppressLineNumbers w:val="0"/>
              <w:jc w:val="center"/>
            </w:pPr>
            <w:r>
              <w:rPr>
                <w:rFonts w:ascii="宋体" w:hAnsi="宋体" w:eastAsia="宋体" w:cs="宋体"/>
                <w:b/>
                <w:sz w:val="38"/>
                <w:szCs w:val="38"/>
              </w:rPr>
              <w:t xml:space="preserve">2022年项目支出绩效目标表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721" w:type="pct"/>
            <w:gridSpan w:val="13"/>
            <w:shd w:val="clear" w:color="auto" w:fill="auto"/>
            <w:vAlign w:val="center"/>
          </w:tcPr>
          <w:p>
            <w:pPr>
              <w:pStyle w:val="2"/>
              <w:keepNext w:val="0"/>
              <w:keepLines w:val="0"/>
              <w:widowControl/>
              <w:suppressLineNumbers w:val="0"/>
              <w:jc w:val="left"/>
            </w:pPr>
            <w:r>
              <w:rPr>
                <w:rFonts w:ascii="宋体" w:hAnsi="宋体" w:eastAsia="宋体" w:cs="宋体"/>
                <w:b/>
                <w:sz w:val="22"/>
                <w:szCs w:val="22"/>
              </w:rPr>
              <w:t xml:space="preserve">单位：038001_长沙市天心区妇女联合会 </w:t>
            </w:r>
          </w:p>
        </w:tc>
        <w:tc>
          <w:tcPr>
            <w:tcW w:w="278"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8" w:type="pct"/>
            <w:shd w:val="clear" w:color="auto" w:fill="auto"/>
            <w:vAlign w:val="center"/>
          </w:tcPr>
          <w:p>
            <w:pPr>
              <w:pStyle w:val="2"/>
              <w:keepNext w:val="0"/>
              <w:keepLines w:val="0"/>
              <w:widowControl/>
              <w:suppressLineNumbers w:val="0"/>
            </w:pPr>
          </w:p>
        </w:tc>
        <w:tc>
          <w:tcPr>
            <w:tcW w:w="393" w:type="pct"/>
            <w:shd w:val="clear" w:color="auto" w:fill="auto"/>
            <w:vAlign w:val="center"/>
          </w:tcPr>
          <w:p>
            <w:pPr>
              <w:pStyle w:val="2"/>
              <w:keepNext w:val="0"/>
              <w:keepLines w:val="0"/>
              <w:widowControl/>
              <w:suppressLineNumbers w:val="0"/>
            </w:pPr>
          </w:p>
        </w:tc>
        <w:tc>
          <w:tcPr>
            <w:tcW w:w="273" w:type="pct"/>
            <w:shd w:val="clear" w:color="auto" w:fill="auto"/>
            <w:vAlign w:val="center"/>
          </w:tcPr>
          <w:p>
            <w:pPr>
              <w:pStyle w:val="2"/>
              <w:keepNext w:val="0"/>
              <w:keepLines w:val="0"/>
              <w:widowControl/>
              <w:suppressLineNumbers w:val="0"/>
            </w:pPr>
          </w:p>
        </w:tc>
        <w:tc>
          <w:tcPr>
            <w:tcW w:w="324" w:type="pct"/>
            <w:shd w:val="clear" w:color="auto" w:fill="auto"/>
            <w:vAlign w:val="center"/>
          </w:tcPr>
          <w:p>
            <w:pPr>
              <w:pStyle w:val="2"/>
              <w:keepNext w:val="0"/>
              <w:keepLines w:val="0"/>
              <w:widowControl/>
              <w:suppressLineNumbers w:val="0"/>
            </w:pPr>
          </w:p>
        </w:tc>
        <w:tc>
          <w:tcPr>
            <w:tcW w:w="926" w:type="pct"/>
            <w:shd w:val="clear" w:color="auto" w:fill="auto"/>
            <w:vAlign w:val="center"/>
          </w:tcPr>
          <w:p>
            <w:pPr>
              <w:pStyle w:val="2"/>
              <w:keepNext w:val="0"/>
              <w:keepLines w:val="0"/>
              <w:widowControl/>
              <w:suppressLineNumbers w:val="0"/>
            </w:pPr>
          </w:p>
        </w:tc>
        <w:tc>
          <w:tcPr>
            <w:tcW w:w="301" w:type="pct"/>
            <w:shd w:val="clear" w:color="auto" w:fill="auto"/>
            <w:vAlign w:val="center"/>
          </w:tcPr>
          <w:p>
            <w:pPr>
              <w:pStyle w:val="2"/>
              <w:keepNext w:val="0"/>
              <w:keepLines w:val="0"/>
              <w:widowControl/>
              <w:suppressLineNumbers w:val="0"/>
            </w:pPr>
          </w:p>
        </w:tc>
        <w:tc>
          <w:tcPr>
            <w:tcW w:w="301" w:type="pct"/>
            <w:shd w:val="clear" w:color="auto" w:fill="auto"/>
            <w:vAlign w:val="center"/>
          </w:tcPr>
          <w:p>
            <w:pPr>
              <w:pStyle w:val="2"/>
              <w:keepNext w:val="0"/>
              <w:keepLines w:val="0"/>
              <w:widowControl/>
              <w:suppressLineNumbers w:val="0"/>
            </w:pPr>
          </w:p>
        </w:tc>
        <w:tc>
          <w:tcPr>
            <w:tcW w:w="2201" w:type="pct"/>
            <w:gridSpan w:val="7"/>
            <w:shd w:val="clear" w:color="auto" w:fill="auto"/>
            <w:vAlign w:val="center"/>
          </w:tcPr>
          <w:p>
            <w:pPr>
              <w:pStyle w:val="2"/>
              <w:keepNext w:val="0"/>
              <w:keepLines w:val="0"/>
              <w:widowControl/>
              <w:suppressLineNumbers w:val="0"/>
              <w:jc w:val="right"/>
            </w:pPr>
            <w:r>
              <w:rPr>
                <w:rFonts w:ascii="宋体" w:hAnsi="宋体" w:eastAsia="宋体" w:cs="宋体"/>
                <w:b/>
                <w:sz w:val="18"/>
                <w:szCs w:val="18"/>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单位代码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单位（专项） 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支出方向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资金总额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实施期绩效目标 </w:t>
            </w:r>
          </w:p>
        </w:tc>
        <w:tc>
          <w:tcPr>
            <w:tcW w:w="2803" w:type="pct"/>
            <w:gridSpan w:val="9"/>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绩效指标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一级指标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二级指标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三级指标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指标值 </w:t>
            </w:r>
          </w:p>
        </w:tc>
        <w:tc>
          <w:tcPr>
            <w:tcW w:w="7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指标值内容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评（扣分标准）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度量单位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指标值类型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备注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038001 </w:t>
            </w:r>
          </w:p>
        </w:tc>
        <w:tc>
          <w:tcPr>
            <w:tcW w:w="39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长沙市天心区妇女联合会 </w:t>
            </w:r>
          </w:p>
        </w:tc>
        <w:tc>
          <w:tcPr>
            <w:tcW w:w="2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48.56 </w:t>
            </w:r>
          </w:p>
        </w:tc>
        <w:tc>
          <w:tcPr>
            <w:tcW w:w="9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7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038001 </w:t>
            </w:r>
          </w:p>
        </w:tc>
        <w:tc>
          <w:tcPr>
            <w:tcW w:w="39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党建经费 </w:t>
            </w:r>
          </w:p>
        </w:tc>
        <w:tc>
          <w:tcPr>
            <w:tcW w:w="2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0.56 </w:t>
            </w:r>
          </w:p>
        </w:tc>
        <w:tc>
          <w:tcPr>
            <w:tcW w:w="9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完成2022年度党建活动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效益指标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社会效益指标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发挥党员模范带头作用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显著 </w:t>
            </w:r>
          </w:p>
        </w:tc>
        <w:tc>
          <w:tcPr>
            <w:tcW w:w="7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切实发挥党员的先锋模范带头作用，保持党员先进性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发挥党员模范带头作用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无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定性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9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产出指标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数量指标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开展主题党日活动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12 </w:t>
            </w:r>
          </w:p>
        </w:tc>
        <w:tc>
          <w:tcPr>
            <w:tcW w:w="7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全年开展主题党日活动12次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开展主题党日活动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次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定量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9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时效指标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按时开展主题党日活动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每月 </w:t>
            </w:r>
          </w:p>
        </w:tc>
        <w:tc>
          <w:tcPr>
            <w:tcW w:w="7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每月开展主题党日活动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按时开展主题党日活动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每月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定量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9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满意度指标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服务对象满意度指标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服务对象满意度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90 </w:t>
            </w:r>
          </w:p>
        </w:tc>
        <w:tc>
          <w:tcPr>
            <w:tcW w:w="7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服务对象满意度90%以上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服务对象满意度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百分比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定量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038001 </w:t>
            </w:r>
          </w:p>
        </w:tc>
        <w:tc>
          <w:tcPr>
            <w:tcW w:w="39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妇女儿童工作经费 </w:t>
            </w:r>
          </w:p>
        </w:tc>
        <w:tc>
          <w:tcPr>
            <w:tcW w:w="2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48.00 </w:t>
            </w:r>
          </w:p>
        </w:tc>
        <w:tc>
          <w:tcPr>
            <w:tcW w:w="9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认真开展好《天心区妇女发展规划（2021-2025）》、《天心区儿童发展规划（2021-2025）》实施工作及支持全区妇女事业发展、维护妇女合法权益、促进男女平等工作。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产出指标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数量指标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创建区级妇女儿童之家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3 </w:t>
            </w:r>
          </w:p>
        </w:tc>
        <w:tc>
          <w:tcPr>
            <w:tcW w:w="7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创建区级妇女儿童之家3家以上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创建区级妇女儿童之家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个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定量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9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开展家庭教育知识、普法讲座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10 </w:t>
            </w:r>
          </w:p>
        </w:tc>
        <w:tc>
          <w:tcPr>
            <w:tcW w:w="7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全年开展家庭教育知识、普法讲座10场以上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开展家庭教育知识、普法讲座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次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定量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9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效益指标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社会效益指标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缓和家庭关系，促进家庭和谐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显著 </w:t>
            </w:r>
          </w:p>
        </w:tc>
        <w:tc>
          <w:tcPr>
            <w:tcW w:w="7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对婚姻家庭有矛盾和问题的进行调解，缓和家庭关系，促进家庭和谐。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缓和家庭关系，促进家庭和谐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无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定性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9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2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满意度指标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服务对象满意度指标 </w:t>
            </w:r>
          </w:p>
        </w:tc>
        <w:tc>
          <w:tcPr>
            <w:tcW w:w="30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服务对象满意度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90 </w:t>
            </w:r>
          </w:p>
        </w:tc>
        <w:tc>
          <w:tcPr>
            <w:tcW w:w="78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服务对象满意度达到90%以上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服务对象满意度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百分比 </w:t>
            </w:r>
          </w:p>
        </w:tc>
        <w:tc>
          <w:tcPr>
            <w:tcW w:w="18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18"/>
                <w:szCs w:val="18"/>
              </w:rPr>
              <w:t xml:space="preserve">定量 </w:t>
            </w:r>
          </w:p>
        </w:tc>
        <w:tc>
          <w:tcPr>
            <w:tcW w:w="2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bl>
    <w:p>
      <w:pPr>
        <w:keepNext w:val="0"/>
        <w:keepLines w:val="0"/>
        <w:widowControl/>
        <w:suppressLineNumbers w:val="0"/>
        <w:jc w:val="left"/>
      </w:pPr>
      <w:r>
        <w:rPr>
          <w:rFonts w:ascii="宋体" w:hAnsi="宋体" w:eastAsia="宋体" w:cs="宋体"/>
          <w:color w:val="000000"/>
          <w:sz w:val="24"/>
          <w:szCs w:val="24"/>
        </w:rPr>
        <w:t>注：本表反映部门本年度的项目支出绩效目标具体情况。本表金额转换为万元时，因四舍五入可能存在尾数误差。</w:t>
      </w:r>
      <w:r>
        <w:rPr>
          <w:rFonts w:ascii="宋体" w:hAnsi="宋体" w:eastAsia="宋体" w:cs="宋体"/>
          <w:color w:val="000000"/>
          <w:sz w:val="32"/>
          <w:szCs w:val="32"/>
        </w:rPr>
        <w:t xml:space="preserve"> </w:t>
      </w:r>
    </w:p>
    <w:p>
      <w:pPr>
        <w:pStyle w:val="2"/>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p>
      <w:pPr>
        <w:keepNext w:val="0"/>
        <w:keepLines w:val="0"/>
        <w:widowControl/>
        <w:suppressLineNumbers w:val="0"/>
        <w:jc w:val="left"/>
        <w:rPr>
          <w:rFonts w:ascii="宋体" w:hAnsi="宋体" w:eastAsia="宋体" w:cs="宋体"/>
          <w:color w:val="000000"/>
          <w:sz w:val="32"/>
          <w:szCs w:val="32"/>
        </w:rPr>
      </w:pPr>
    </w:p>
    <w:p>
      <w:pPr>
        <w:pStyle w:val="2"/>
        <w:keepNext w:val="0"/>
        <w:keepLines w:val="0"/>
        <w:widowControl/>
        <w:suppressLineNumbers w:val="0"/>
        <w:spacing w:before="0" w:beforeAutospacing="0" w:after="2" w:afterAutospacing="0"/>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0"/>
        <w:gridCol w:w="851"/>
        <w:gridCol w:w="904"/>
        <w:gridCol w:w="699"/>
        <w:gridCol w:w="699"/>
        <w:gridCol w:w="699"/>
        <w:gridCol w:w="699"/>
        <w:gridCol w:w="699"/>
        <w:gridCol w:w="702"/>
        <w:gridCol w:w="2670"/>
        <w:gridCol w:w="596"/>
        <w:gridCol w:w="596"/>
        <w:gridCol w:w="596"/>
        <w:gridCol w:w="386"/>
        <w:gridCol w:w="470"/>
        <w:gridCol w:w="386"/>
        <w:gridCol w:w="1020"/>
        <w:gridCol w:w="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5000" w:type="pct"/>
            <w:gridSpan w:val="18"/>
            <w:shd w:val="clear" w:color="auto" w:fill="auto"/>
            <w:vAlign w:val="center"/>
          </w:tcPr>
          <w:p>
            <w:pPr>
              <w:pStyle w:val="2"/>
              <w:keepNext w:val="0"/>
              <w:keepLines w:val="0"/>
              <w:widowControl/>
              <w:suppressLineNumbers w:val="0"/>
              <w:jc w:val="center"/>
            </w:pPr>
            <w:r>
              <w:rPr>
                <w:rFonts w:ascii="宋体" w:hAnsi="宋体" w:eastAsia="宋体" w:cs="宋体"/>
                <w:b/>
                <w:sz w:val="32"/>
                <w:szCs w:val="32"/>
              </w:rPr>
              <w:t xml:space="preserve">2022年整体支出绩效目标表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776" w:type="pct"/>
            <w:gridSpan w:val="17"/>
            <w:shd w:val="clear" w:color="auto" w:fill="auto"/>
            <w:vAlign w:val="center"/>
          </w:tcPr>
          <w:p>
            <w:pPr>
              <w:pStyle w:val="2"/>
              <w:keepNext w:val="0"/>
              <w:keepLines w:val="0"/>
              <w:widowControl/>
              <w:suppressLineNumbers w:val="0"/>
              <w:jc w:val="left"/>
            </w:pPr>
            <w:r>
              <w:rPr>
                <w:rFonts w:ascii="宋体" w:hAnsi="宋体" w:eastAsia="宋体" w:cs="宋体"/>
                <w:b/>
                <w:sz w:val="22"/>
                <w:szCs w:val="22"/>
              </w:rPr>
              <w:t xml:space="preserve">单位：038001_长沙市天心区妇女联合会 </w:t>
            </w:r>
          </w:p>
        </w:tc>
        <w:tc>
          <w:tcPr>
            <w:tcW w:w="223" w:type="pct"/>
            <w:shd w:val="clear" w:color="auto" w:fill="auto"/>
            <w:vAlign w:val="center"/>
          </w:tcPr>
          <w:p>
            <w:pPr>
              <w:pStyle w:val="2"/>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3" w:type="pct"/>
            <w:shd w:val="clear" w:color="auto" w:fill="auto"/>
            <w:vAlign w:val="center"/>
          </w:tcPr>
          <w:p>
            <w:pPr>
              <w:pStyle w:val="2"/>
              <w:keepNext w:val="0"/>
              <w:keepLines w:val="0"/>
              <w:widowControl/>
              <w:suppressLineNumbers w:val="0"/>
            </w:pPr>
          </w:p>
        </w:tc>
        <w:tc>
          <w:tcPr>
            <w:tcW w:w="315" w:type="pct"/>
            <w:shd w:val="clear" w:color="auto" w:fill="auto"/>
            <w:vAlign w:val="center"/>
          </w:tcPr>
          <w:p>
            <w:pPr>
              <w:pStyle w:val="2"/>
              <w:keepNext w:val="0"/>
              <w:keepLines w:val="0"/>
              <w:widowControl/>
              <w:suppressLineNumbers w:val="0"/>
            </w:pPr>
          </w:p>
        </w:tc>
        <w:tc>
          <w:tcPr>
            <w:tcW w:w="334" w:type="pct"/>
            <w:shd w:val="clear" w:color="auto" w:fill="auto"/>
            <w:vAlign w:val="center"/>
          </w:tcPr>
          <w:p>
            <w:pPr>
              <w:pStyle w:val="2"/>
              <w:keepNext w:val="0"/>
              <w:keepLines w:val="0"/>
              <w:widowControl/>
              <w:suppressLineNumbers w:val="0"/>
            </w:pPr>
          </w:p>
        </w:tc>
        <w:tc>
          <w:tcPr>
            <w:tcW w:w="260" w:type="pct"/>
            <w:shd w:val="clear" w:color="auto" w:fill="auto"/>
            <w:vAlign w:val="center"/>
          </w:tcPr>
          <w:p>
            <w:pPr>
              <w:pStyle w:val="2"/>
              <w:keepNext w:val="0"/>
              <w:keepLines w:val="0"/>
              <w:widowControl/>
              <w:suppressLineNumbers w:val="0"/>
            </w:pPr>
          </w:p>
        </w:tc>
        <w:tc>
          <w:tcPr>
            <w:tcW w:w="260" w:type="pct"/>
            <w:shd w:val="clear" w:color="auto" w:fill="auto"/>
            <w:vAlign w:val="center"/>
          </w:tcPr>
          <w:p>
            <w:pPr>
              <w:pStyle w:val="2"/>
              <w:keepNext w:val="0"/>
              <w:keepLines w:val="0"/>
              <w:widowControl/>
              <w:suppressLineNumbers w:val="0"/>
            </w:pPr>
          </w:p>
        </w:tc>
        <w:tc>
          <w:tcPr>
            <w:tcW w:w="260" w:type="pct"/>
            <w:shd w:val="clear" w:color="auto" w:fill="auto"/>
            <w:vAlign w:val="center"/>
          </w:tcPr>
          <w:p>
            <w:pPr>
              <w:pStyle w:val="2"/>
              <w:keepNext w:val="0"/>
              <w:keepLines w:val="0"/>
              <w:widowControl/>
              <w:suppressLineNumbers w:val="0"/>
            </w:pPr>
          </w:p>
        </w:tc>
        <w:tc>
          <w:tcPr>
            <w:tcW w:w="260" w:type="pct"/>
            <w:shd w:val="clear" w:color="auto" w:fill="auto"/>
            <w:vAlign w:val="center"/>
          </w:tcPr>
          <w:p>
            <w:pPr>
              <w:pStyle w:val="2"/>
              <w:keepNext w:val="0"/>
              <w:keepLines w:val="0"/>
              <w:widowControl/>
              <w:suppressLineNumbers w:val="0"/>
            </w:pPr>
          </w:p>
        </w:tc>
        <w:tc>
          <w:tcPr>
            <w:tcW w:w="260" w:type="pct"/>
            <w:shd w:val="clear" w:color="auto" w:fill="auto"/>
            <w:vAlign w:val="center"/>
          </w:tcPr>
          <w:p>
            <w:pPr>
              <w:pStyle w:val="2"/>
              <w:keepNext w:val="0"/>
              <w:keepLines w:val="0"/>
              <w:widowControl/>
              <w:suppressLineNumbers w:val="0"/>
            </w:pPr>
          </w:p>
        </w:tc>
        <w:tc>
          <w:tcPr>
            <w:tcW w:w="260" w:type="pct"/>
            <w:shd w:val="clear" w:color="auto" w:fill="auto"/>
            <w:vAlign w:val="center"/>
          </w:tcPr>
          <w:p>
            <w:pPr>
              <w:pStyle w:val="2"/>
              <w:keepNext w:val="0"/>
              <w:keepLines w:val="0"/>
              <w:widowControl/>
              <w:suppressLineNumbers w:val="0"/>
            </w:pPr>
          </w:p>
        </w:tc>
        <w:tc>
          <w:tcPr>
            <w:tcW w:w="966" w:type="pct"/>
            <w:shd w:val="clear" w:color="auto" w:fill="auto"/>
            <w:vAlign w:val="center"/>
          </w:tcPr>
          <w:p>
            <w:pPr>
              <w:pStyle w:val="2"/>
              <w:keepNext w:val="0"/>
              <w:keepLines w:val="0"/>
              <w:widowControl/>
              <w:suppressLineNumbers w:val="0"/>
            </w:pPr>
          </w:p>
        </w:tc>
        <w:tc>
          <w:tcPr>
            <w:tcW w:w="1598" w:type="pct"/>
            <w:gridSpan w:val="8"/>
            <w:shd w:val="clear" w:color="auto" w:fill="auto"/>
            <w:vAlign w:val="center"/>
          </w:tcPr>
          <w:p>
            <w:pPr>
              <w:pStyle w:val="2"/>
              <w:keepNext w:val="0"/>
              <w:keepLines w:val="0"/>
              <w:widowControl/>
              <w:suppressLineNumbers w:val="0"/>
              <w:jc w:val="right"/>
            </w:pPr>
            <w:r>
              <w:rPr>
                <w:rFonts w:ascii="宋体" w:hAnsi="宋体" w:eastAsia="宋体" w:cs="宋体"/>
                <w:b/>
                <w:sz w:val="18"/>
                <w:szCs w:val="18"/>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单位编码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单位名称 </w:t>
            </w:r>
          </w:p>
        </w:tc>
        <w:tc>
          <w:tcPr>
            <w:tcW w:w="1895" w:type="pct"/>
            <w:gridSpan w:val="7"/>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年度预算申请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整体绩效目标 </w:t>
            </w:r>
          </w:p>
        </w:tc>
        <w:tc>
          <w:tcPr>
            <w:tcW w:w="1598" w:type="pct"/>
            <w:gridSpan w:val="8"/>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部门整体支出年度绩效目标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资金总额 </w:t>
            </w:r>
          </w:p>
        </w:tc>
        <w:tc>
          <w:tcPr>
            <w:tcW w:w="104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按收入性质分 </w:t>
            </w:r>
          </w:p>
        </w:tc>
        <w:tc>
          <w:tcPr>
            <w:tcW w:w="520"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按支出性质分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1598" w:type="pct"/>
            <w:gridSpan w:val="8"/>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一般公共 预算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政府性基 金拨款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财政专户管理资金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其他资金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基本支出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项目支出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sz w:val="18"/>
                <w:szCs w:val="18"/>
              </w:rPr>
            </w:pP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一级指标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二级指标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三级指标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指标值类型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指标值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度量单位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指标值说明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sz w:val="18"/>
                <w:szCs w:val="18"/>
              </w:rPr>
              <w:t xml:space="preserve">备注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038001 </w:t>
            </w:r>
          </w:p>
        </w:tc>
        <w:tc>
          <w:tcPr>
            <w:tcW w:w="3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长沙市天心区妇女联合会 </w:t>
            </w:r>
          </w:p>
        </w:tc>
        <w:tc>
          <w:tcPr>
            <w:tcW w:w="3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152.08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152.08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103.52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48.56 </w:t>
            </w:r>
          </w:p>
        </w:tc>
        <w:tc>
          <w:tcPr>
            <w:tcW w:w="9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依法维护妇女儿童合法权益、优化妇女儿童发展环境、维护妇女合法权益、促进男女平等；开展家庭教育讲座，开展普法讲座，联合小学举办 “六一”活动；在“三八”、“11.25”开展维护妇女权益、反家庭暴力宣传活动；慰问贫困妇女儿童活动和妇女儿童之家创建，履行天心区政府妇女儿童工作委员会办公室职责，推动&lt;天心区妇女儿童发展规划&gt;实施。开展婚姻家庭纠纷人民调解委员会工作，对婚姻家庭有矛盾和问题的进行调解，缓和家庭关系，促进家庭和谐。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产出指标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重点工作任务完成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婚姻调解工作覆盖率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100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对上访者婚姻家庭有矛盾和问题的进行调解。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履职目标实现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妇女儿童工作开展形式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定性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多样化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开展家庭教育讲座，开展普法讲座，联合小学举办 “六一”活动；在“三八”、“11.25”开展维护妇女权益宣传、反家庭暴力宣传活动。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效益指标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履职效益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社会效益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定性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缓和家庭关系，促进家庭和谐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对婚姻家庭有矛盾和问题的进行调解，缓和家庭关系，促进家庭和谐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33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96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满意度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服务对象满意度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90 </w:t>
            </w:r>
          </w:p>
        </w:tc>
        <w:tc>
          <w:tcPr>
            <w:tcW w:w="14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 </w:t>
            </w:r>
          </w:p>
        </w:tc>
        <w:tc>
          <w:tcPr>
            <w:tcW w:w="260"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r>
              <w:rPr>
                <w:rFonts w:ascii="宋体" w:hAnsi="宋体" w:eastAsia="宋体" w:cs="宋体"/>
                <w:b w:val="0"/>
                <w:sz w:val="22"/>
                <w:szCs w:val="22"/>
              </w:rPr>
              <w:t xml:space="preserve">服务对象对区妇联工作满意度 </w:t>
            </w:r>
          </w:p>
        </w:tc>
        <w:tc>
          <w:tcPr>
            <w:tcW w:w="22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keepNext w:val="0"/>
              <w:keepLines w:val="0"/>
              <w:widowControl/>
              <w:suppressLineNumbers w:val="0"/>
              <w:jc w:val="center"/>
            </w:pPr>
          </w:p>
        </w:tc>
      </w:tr>
    </w:tbl>
    <w:p>
      <w:pPr>
        <w:keepNext w:val="0"/>
        <w:keepLines w:val="0"/>
        <w:widowControl/>
        <w:suppressLineNumbers w:val="0"/>
        <w:jc w:val="left"/>
      </w:pPr>
      <w:r>
        <w:rPr>
          <w:rFonts w:ascii="宋体" w:hAnsi="宋体" w:eastAsia="宋体" w:cs="宋体"/>
          <w:color w:val="000000"/>
          <w:sz w:val="24"/>
          <w:szCs w:val="24"/>
        </w:rPr>
        <w:t>注：本表反映部门本年度的整体支出绩效目标具体情况。本表金额转换为万元时，因四舍五入可能存在尾数误差。</w:t>
      </w:r>
      <w:r>
        <w:rPr>
          <w:rFonts w:ascii="宋体" w:hAnsi="宋体" w:eastAsia="宋体" w:cs="宋体"/>
          <w:color w:val="000000"/>
          <w:sz w:val="32"/>
          <w:szCs w:val="32"/>
        </w:rPr>
        <w:t xml:space="preserve"> </w:t>
      </w:r>
    </w:p>
    <w:p>
      <w:pPr>
        <w:pStyle w:val="2"/>
        <w:keepNext w:val="0"/>
        <w:keepLines w:val="0"/>
        <w:widowControl/>
        <w:suppressLineNumbers w:val="0"/>
      </w:pPr>
    </w:p>
    <w:p>
      <w:pPr>
        <w:sectPr>
          <w:pgSz w:w="16838" w:h="11906" w:orient="landscape"/>
          <w:pgMar w:top="1800" w:right="1440" w:bottom="1800" w:left="1440"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6463D"/>
    <w:rsid w:val="4876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2"/>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2022-03-31T02:06:00Z</dcterms:created>
  <dc:creator>Administrator</dc:creator>
  <cp:lastModifiedBy>Administrator</cp:lastModifiedBy>
  <dcterms:modified xsi:type="dcterms:W3CDTF">2022-03-31T02:13:08Z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