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ascii="Times New Roman" w:hAnsi="Times New Roman" w:eastAsia="仿宋_GB2312" w:cs="Times New Roman"/>
          <w:color w:val="auto"/>
          <w:sz w:val="44"/>
          <w:szCs w:val="44"/>
        </w:rPr>
      </w:pPr>
      <w:r>
        <w:rPr>
          <w:rFonts w:ascii="Times New Roman" w:hAnsi="Times New Roman" w:eastAsia="仿宋_GB2312" w:cs="Times New Roman"/>
          <w:color w:val="auto"/>
          <w:sz w:val="44"/>
          <w:szCs w:val="44"/>
        </w:rPr>
        <w:t>2019年度部门整体支出绩效评价报告</w:t>
      </w:r>
    </w:p>
    <w:p>
      <w:pPr>
        <w:ind w:firstLine="480" w:firstLineChars="150"/>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bookmarkStart w:id="0" w:name="_GoBack"/>
      <w:bookmarkEnd w:id="0"/>
      <w:r>
        <w:rPr>
          <w:rFonts w:hint="eastAsia" w:ascii="仿宋" w:hAnsi="仿宋" w:eastAsia="仿宋" w:cs="仿宋"/>
          <w:sz w:val="32"/>
          <w:szCs w:val="32"/>
        </w:rPr>
        <w:t>单位名称:长沙市天心区城市房屋征收和补偿管理办公室</w:t>
      </w:r>
    </w:p>
    <w:p>
      <w:pPr>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r>
        <w:rPr>
          <w:rFonts w:hint="eastAsia" w:ascii="仿宋" w:hAnsi="仿宋" w:eastAsia="仿宋" w:cs="仿宋"/>
          <w:sz w:val="32"/>
          <w:szCs w:val="32"/>
        </w:rPr>
        <w:t>报告填报人:曾祯桢</w:t>
      </w:r>
    </w:p>
    <w:p>
      <w:pPr>
        <w:ind w:firstLine="480" w:firstLineChars="150"/>
        <w:jc w:val="left"/>
        <w:rPr>
          <w:rFonts w:hint="eastAsia" w:ascii="仿宋" w:hAnsi="仿宋" w:eastAsia="仿宋" w:cs="仿宋"/>
          <w:sz w:val="32"/>
          <w:szCs w:val="32"/>
        </w:rPr>
      </w:pPr>
    </w:p>
    <w:p>
      <w:pPr>
        <w:ind w:firstLine="480" w:firstLineChars="150"/>
        <w:jc w:val="left"/>
        <w:rPr>
          <w:rFonts w:hint="eastAsia" w:ascii="仿宋" w:hAnsi="仿宋" w:eastAsia="仿宋" w:cs="仿宋"/>
          <w:sz w:val="32"/>
          <w:szCs w:val="32"/>
        </w:rPr>
      </w:pPr>
      <w:r>
        <w:rPr>
          <w:rFonts w:hint="eastAsia" w:ascii="仿宋" w:hAnsi="仿宋" w:eastAsia="仿宋" w:cs="仿宋"/>
          <w:sz w:val="32"/>
          <w:szCs w:val="32"/>
        </w:rPr>
        <w:t>办公电话：85899570</w:t>
      </w:r>
    </w:p>
    <w:p>
      <w:pPr>
        <w:jc w:val="left"/>
        <w:rPr>
          <w:rFonts w:hint="eastAsia" w:ascii="仿宋" w:hAnsi="仿宋" w:eastAsia="仿宋" w:cs="仿宋"/>
          <w:sz w:val="28"/>
          <w:szCs w:val="20"/>
        </w:rPr>
      </w:pPr>
    </w:p>
    <w:p>
      <w:pPr>
        <w:jc w:val="left"/>
        <w:rPr>
          <w:rFonts w:hint="eastAsia" w:ascii="仿宋" w:hAnsi="仿宋" w:eastAsia="仿宋" w:cs="仿宋"/>
          <w:sz w:val="32"/>
          <w:szCs w:val="32"/>
        </w:rPr>
      </w:pPr>
      <w:r>
        <w:rPr>
          <w:rFonts w:hint="eastAsia" w:ascii="仿宋" w:hAnsi="仿宋" w:eastAsia="仿宋" w:cs="仿宋"/>
          <w:sz w:val="28"/>
          <w:szCs w:val="20"/>
        </w:rPr>
        <w:t xml:space="preserve">   </w:t>
      </w:r>
      <w:r>
        <w:rPr>
          <w:rFonts w:hint="eastAsia" w:ascii="仿宋" w:hAnsi="仿宋" w:eastAsia="仿宋" w:cs="仿宋"/>
          <w:sz w:val="32"/>
          <w:szCs w:val="32"/>
        </w:rPr>
        <w:t xml:space="preserve">手机号码：13873172712（62713） </w:t>
      </w:r>
    </w:p>
    <w:p>
      <w:pPr>
        <w:jc w:val="center"/>
        <w:rPr>
          <w:rFonts w:hint="eastAsia" w:ascii="仿宋" w:hAnsi="仿宋" w:eastAsia="仿宋" w:cs="仿宋"/>
          <w:sz w:val="28"/>
          <w:szCs w:val="20"/>
        </w:rPr>
      </w:pPr>
    </w:p>
    <w:p>
      <w:pPr>
        <w:jc w:val="center"/>
        <w:rPr>
          <w:rFonts w:hint="eastAsia" w:ascii="仿宋" w:hAnsi="仿宋" w:eastAsia="仿宋" w:cs="仿宋"/>
          <w:sz w:val="28"/>
          <w:szCs w:val="20"/>
        </w:rPr>
      </w:pPr>
    </w:p>
    <w:p>
      <w:pPr>
        <w:jc w:val="center"/>
        <w:rPr>
          <w:rFonts w:hint="eastAsia" w:ascii="仿宋" w:hAnsi="仿宋" w:eastAsia="仿宋" w:cs="仿宋"/>
          <w:sz w:val="28"/>
          <w:szCs w:val="20"/>
        </w:rPr>
      </w:pPr>
    </w:p>
    <w:p>
      <w:pPr>
        <w:jc w:val="center"/>
        <w:rPr>
          <w:rFonts w:hint="eastAsia" w:ascii="仿宋" w:hAnsi="仿宋" w:eastAsia="仿宋" w:cs="仿宋"/>
          <w:sz w:val="28"/>
          <w:szCs w:val="20"/>
        </w:rPr>
      </w:pPr>
    </w:p>
    <w:p>
      <w:pPr>
        <w:jc w:val="center"/>
        <w:rPr>
          <w:rFonts w:hint="eastAsia" w:ascii="仿宋" w:hAnsi="仿宋" w:eastAsia="仿宋" w:cs="仿宋"/>
          <w:sz w:val="28"/>
          <w:szCs w:val="20"/>
        </w:rPr>
      </w:pPr>
    </w:p>
    <w:p>
      <w:pPr>
        <w:jc w:val="center"/>
        <w:rPr>
          <w:rFonts w:hint="eastAsia" w:ascii="仿宋" w:hAnsi="仿宋" w:eastAsia="仿宋" w:cs="仿宋"/>
          <w:sz w:val="28"/>
          <w:szCs w:val="20"/>
        </w:rPr>
      </w:pPr>
    </w:p>
    <w:p>
      <w:pPr>
        <w:spacing w:line="800" w:lineRule="exact"/>
        <w:jc w:val="center"/>
        <w:rPr>
          <w:rFonts w:hint="eastAsia" w:ascii="仿宋" w:hAnsi="仿宋" w:eastAsia="仿宋" w:cs="仿宋"/>
          <w:sz w:val="36"/>
          <w:szCs w:val="36"/>
        </w:rPr>
      </w:pPr>
    </w:p>
    <w:p>
      <w:pPr>
        <w:spacing w:line="800" w:lineRule="exact"/>
        <w:jc w:val="center"/>
        <w:rPr>
          <w:rFonts w:hint="eastAsia" w:ascii="仿宋" w:hAnsi="仿宋" w:eastAsia="仿宋" w:cs="仿宋"/>
          <w:sz w:val="36"/>
          <w:szCs w:val="36"/>
        </w:rPr>
      </w:pPr>
    </w:p>
    <w:p>
      <w:pPr>
        <w:spacing w:line="800" w:lineRule="exact"/>
        <w:jc w:val="center"/>
        <w:rPr>
          <w:rFonts w:hint="eastAsia" w:ascii="仿宋" w:hAnsi="仿宋" w:eastAsia="仿宋" w:cs="仿宋"/>
          <w:sz w:val="36"/>
          <w:szCs w:val="36"/>
        </w:rPr>
      </w:pPr>
    </w:p>
    <w:p>
      <w:pPr>
        <w:spacing w:line="800" w:lineRule="exact"/>
        <w:jc w:val="center"/>
        <w:rPr>
          <w:rFonts w:hint="eastAsia" w:ascii="仿宋" w:hAnsi="仿宋" w:eastAsia="仿宋" w:cs="仿宋"/>
          <w:sz w:val="36"/>
          <w:szCs w:val="36"/>
        </w:rPr>
      </w:pPr>
    </w:p>
    <w:p>
      <w:pPr>
        <w:spacing w:line="800" w:lineRule="exact"/>
        <w:jc w:val="center"/>
        <w:rPr>
          <w:rFonts w:hint="eastAsia" w:ascii="仿宋" w:hAnsi="仿宋" w:eastAsia="仿宋" w:cs="仿宋"/>
          <w:sz w:val="36"/>
          <w:szCs w:val="36"/>
        </w:rPr>
      </w:pPr>
      <w:r>
        <w:rPr>
          <w:rFonts w:hint="eastAsia" w:ascii="仿宋" w:hAnsi="仿宋" w:eastAsia="仿宋" w:cs="仿宋"/>
          <w:sz w:val="36"/>
          <w:szCs w:val="36"/>
        </w:rPr>
        <w:t>报告日期：2020年4月23日</w:t>
      </w:r>
    </w:p>
    <w:p>
      <w:pPr>
        <w:spacing w:line="800" w:lineRule="exact"/>
        <w:jc w:val="center"/>
        <w:rPr>
          <w:rFonts w:hint="eastAsia" w:ascii="仿宋" w:hAnsi="仿宋" w:eastAsia="仿宋" w:cs="仿宋"/>
          <w:kern w:val="0"/>
          <w:sz w:val="44"/>
          <w:szCs w:val="44"/>
        </w:rPr>
        <w:sectPr>
          <w:headerReference r:id="rId3" w:type="default"/>
          <w:footerReference r:id="rId4" w:type="default"/>
          <w:footerReference r:id="rId5" w:type="even"/>
          <w:pgSz w:w="11906" w:h="16838"/>
          <w:pgMar w:top="2098" w:right="1474" w:bottom="1701" w:left="1588" w:header="1134" w:footer="1247" w:gutter="0"/>
          <w:paperSrc w:first="261" w:other="261"/>
          <w:cols w:space="720" w:num="1"/>
          <w:docGrid w:linePitch="579" w:charSpace="-3885"/>
        </w:sectPr>
      </w:pPr>
      <w:r>
        <w:rPr>
          <w:rFonts w:hint="eastAsia" w:ascii="仿宋" w:hAnsi="仿宋" w:eastAsia="仿宋" w:cs="仿宋"/>
          <w:sz w:val="36"/>
          <w:szCs w:val="36"/>
        </w:rPr>
        <w:t>（预算单位盖章）</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部门、单位基本情况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部门基本情况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人员情况：本部门编制数12人,在职人数10人,其中:在岗人数12人；政府雇员0人；专业技术人员0人；编外长期聘用人员1人；政府部门借调人员1人；离退休人数0人,其中离休人员0人,退休人员0人。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机构设置：长沙市天心区城市房屋征收和补偿理管理办公室为全额拨款的事业单位，行政上归口区人居环境局管理。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主要职能：依据国家、省、市有关征收管理法规、政策对城市规划范围内国有土地上的房屋实施征收，并对补偿、安置进行监督；负责国有土地上房屋行政征收的审批；负责监督、管理征收补偿资金的使用和征收委托合同的备案；负责辖区城市房屋拆除工作监督管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一般公共预算支出情况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基本支出情况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2019年部门基本支出数为276.40万元，主要用于征收办的日常支出、在职人员及聘用人员工资福利、三公经费的支出。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项目支出情况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2019年部门项目支出数为58.17万元，主要用于征收工作相关费用的支出。</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三、部门整体支出绩效情况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绩效目标设置情况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按照区级预算绩效管理工作的总体要求，2019年征收办整体支出334.57万元，编报绩效目标的项目1个，全部实行支出绩效目标管理。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绩效目标完成情况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2019年部门基本支出数为276.40万元，主要用于我单位的日常支出、在职人员及聘用人员工资福利、三公经费的支出。全部实行支出绩效目标管理。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2019年部门项目支出数为58.17万元，主要用于征收工作相关费用的支出。项目资金严格按照财政规定使用，无违规现象；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我办对各征收项目严格按照征收相关法律法规及财务制度执行，无违规现象。</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四、存在的主要问题及下一步改进措施</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1-10月公车使用经费差异大的原因。2台公车使用年限均为十年以上，因汽车老化严重，维修费高，每台车每月汽油费均为2500元，所以造成经费差异。11月份公车改革后，本单位目前已无公车。</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五、绩效自评结果拟应用和公开情况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六</w:t>
      </w:r>
      <w:r>
        <w:rPr>
          <w:rFonts w:hint="eastAsia" w:ascii="仿宋" w:hAnsi="仿宋" w:eastAsia="仿宋" w:cs="仿宋"/>
          <w:sz w:val="32"/>
          <w:szCs w:val="32"/>
        </w:rPr>
        <w:t>、其他需要说明的情况</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firstLine="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无</w:t>
      </w:r>
    </w:p>
    <w:p>
      <w:pPr>
        <w:ind w:firstLine="880" w:firstLineChars="200"/>
        <w:rPr>
          <w:rFonts w:ascii="Times New Roman" w:hAnsi="Times New Roman" w:eastAsia="仿宋_GB2312" w:cs="Times New Roman"/>
          <w:color w:val="auto"/>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wordWrap w:val="0"/>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2"/>
                      <w:wordWrap w:val="0"/>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69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2021-05-22T07:19:59Z</dcterms:created>
  <dc:creator>Administrator</dc:creator>
  <cp:lastModifiedBy>亨妈～刘清</cp:lastModifiedBy>
  <dcterms:modified xsi:type="dcterms:W3CDTF">2021-05-22T07:21:21Z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8F3D7AB7ECF645259066B518952367EC</vt:lpwstr>
  </property>
</Properties>
</file>