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pPr>
      <w:r>
        <w:rPr>
          <w:rFonts w:ascii="宋体" w:hAnsi="宋体" w:eastAsia="宋体" w:cs="宋体"/>
          <w:color w:val="000000"/>
          <w:sz w:val="44"/>
          <w:szCs w:val="44"/>
        </w:rPr>
        <w:t>2021年度长沙市天心区市政设施维护中心部门决算</w:t>
      </w:r>
      <w:r>
        <w:rPr>
          <w:color w:val="000000"/>
        </w:rPr>
        <w:t xml:space="preserve"> </w:t>
      </w:r>
    </w:p>
    <w:p>
      <w:pPr>
        <w:spacing w:before="0" w:beforeAutospacing="0" w:after="2" w:afterAutospacing="0"/>
        <w:jc w:val="center"/>
        <w:rPr>
          <w:sz w:val="21"/>
          <w:szCs w:val="21"/>
        </w:rPr>
      </w:pPr>
      <w:r>
        <w:rPr>
          <w:color w:val="000000"/>
          <w:sz w:val="32"/>
          <w:szCs w:val="32"/>
        </w:rPr>
        <w:t> </w:t>
      </w:r>
      <w:r>
        <w:rPr>
          <w:color w:val="000000"/>
          <w:sz w:val="21"/>
          <w:szCs w:val="21"/>
        </w:rPr>
        <w:t xml:space="preserve"> </w:t>
      </w:r>
    </w:p>
    <w:p>
      <w:pPr>
        <w:spacing w:before="0" w:beforeAutospacing="0" w:after="2" w:afterAutospacing="0"/>
        <w:jc w:val="center"/>
        <w:rPr>
          <w:rFonts w:hint="eastAsia" w:ascii="宋体" w:hAnsi="宋体" w:eastAsia="宋体" w:cs="宋体"/>
          <w:sz w:val="21"/>
          <w:szCs w:val="21"/>
        </w:rPr>
      </w:pPr>
      <w:r>
        <w:rPr>
          <w:rFonts w:hint="eastAsia" w:ascii="宋体" w:hAnsi="宋体" w:eastAsia="宋体" w:cs="宋体"/>
          <w:color w:val="000000"/>
          <w:sz w:val="32"/>
          <w:szCs w:val="32"/>
        </w:rPr>
        <w:t>目 录</w:t>
      </w:r>
      <w:r>
        <w:rPr>
          <w:rFonts w:hint="eastAsia" w:ascii="宋体" w:hAnsi="宋体" w:eastAsia="宋体" w:cs="宋体"/>
          <w:color w:val="000000"/>
          <w:sz w:val="21"/>
          <w:szCs w:val="21"/>
        </w:rPr>
        <w:t xml:space="preserve"> </w:t>
      </w:r>
    </w:p>
    <w:p>
      <w:pPr>
        <w:spacing w:before="0" w:beforeAutospacing="0" w:after="2" w:afterAutospacing="0"/>
        <w:jc w:val="center"/>
        <w:rPr>
          <w:sz w:val="21"/>
          <w:szCs w:val="21"/>
        </w:rPr>
      </w:pP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第一部分 长沙市天心区市政设施维护中心概况</w:t>
      </w:r>
      <w:r>
        <w:rPr>
          <w:color w:val="000000"/>
          <w:sz w:val="27"/>
          <w:szCs w:val="27"/>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一、部门职责</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二、机构设置及决算单位构成</w:t>
      </w:r>
      <w:r>
        <w:rPr>
          <w:color w:val="000000"/>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第二部分 2021年度部门决算表</w:t>
      </w:r>
      <w:r>
        <w:rPr>
          <w:color w:val="000000"/>
          <w:sz w:val="27"/>
          <w:szCs w:val="27"/>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一、收入支出决算总表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二、收入决算表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三、支出决算表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四、财政拨款收入支出决算总表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五、一般公共预算财政拨款支出决算表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六、一般公共预算财政拨款基本支出决算明细表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七、一般公共预算财政拨款“三公”经费支出决算表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八、政府性基金预算财政拨款收入支出决算表</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九、国有资本经营预算财政拨款支出决算表</w:t>
      </w:r>
      <w:r>
        <w:rPr>
          <w:color w:val="000000"/>
        </w:rPr>
        <w:t xml:space="preserve"> </w:t>
      </w:r>
    </w:p>
    <w:p>
      <w:pPr>
        <w:pStyle w:val="14"/>
        <w:spacing w:before="0" w:beforeAutospacing="0" w:after="2" w:afterAutospacing="0"/>
        <w:ind w:left="0" w:firstLine="700"/>
      </w:pPr>
      <w:r>
        <w:rPr>
          <w:rFonts w:hint="eastAsia" w:ascii="宋体" w:hAnsi="宋体" w:eastAsia="宋体" w:cs="宋体"/>
          <w:b/>
          <w:bCs/>
          <w:color w:val="000000"/>
          <w:sz w:val="32"/>
          <w:szCs w:val="32"/>
        </w:rPr>
        <w:t>第三部分 2021年度部门决算情况说明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一、收入支出决算总体情况说明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二、收入决算情况说明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三、支出决算情况说明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四、财政拨款收入支出决算总体情况说明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五、一般公共预算财政拨款支出决算情况说明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六、一般公共预算财政拨款基本支出决算情况说明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七、一般公共预算财政拨款三公经费支出决算情况说明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八、政府性基金预算收入支出决算情况</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九、关于机关运行经费支出说明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十、一般性支出情况</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十一、关于政府采购支出说明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十二、关于国有资产占用情况说明</w:t>
      </w:r>
      <w:r>
        <w:rPr>
          <w:color w:val="000000"/>
        </w:rPr>
        <w:t xml:space="preserve"> </w:t>
      </w:r>
    </w:p>
    <w:p>
      <w:pPr>
        <w:pStyle w:val="14"/>
        <w:spacing w:before="0" w:beforeAutospacing="0" w:after="2" w:afterAutospacing="0"/>
        <w:ind w:left="0" w:firstLine="700"/>
      </w:pPr>
      <w:r>
        <w:rPr>
          <w:rFonts w:hint="eastAsia" w:ascii="宋体" w:hAnsi="宋体" w:eastAsia="宋体" w:cs="宋体"/>
          <w:color w:val="000000"/>
          <w:sz w:val="28"/>
          <w:szCs w:val="28"/>
        </w:rPr>
        <w:t>十三、关于2021年度预算绩效情况的说明</w:t>
      </w:r>
      <w:r>
        <w:rPr>
          <w:color w:val="000000"/>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第四部分 名词解释</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第五部分 附件</w:t>
      </w:r>
      <w:r>
        <w:rPr>
          <w:color w:val="000000"/>
          <w:sz w:val="27"/>
          <w:szCs w:val="27"/>
        </w:rPr>
        <w:t xml:space="preserve"> </w:t>
      </w:r>
    </w:p>
    <w:p/>
    <w:p/>
    <w:p/>
    <w:p/>
    <w:p/>
    <w:p>
      <w:pPr>
        <w:spacing w:before="0" w:beforeAutospacing="0" w:after="2" w:afterAutospacing="0" w:line="600" w:lineRule="atLeast"/>
        <w:ind w:left="0" w:right="0"/>
        <w:jc w:val="center"/>
        <w:rPr>
          <w:sz w:val="21"/>
          <w:szCs w:val="21"/>
        </w:rPr>
      </w:pPr>
      <w:r>
        <w:rPr>
          <w:rFonts w:hint="eastAsia" w:ascii="宋体" w:hAnsi="宋体" w:eastAsia="宋体" w:cs="宋体"/>
          <w:b/>
          <w:bCs/>
          <w:color w:val="000000"/>
          <w:sz w:val="36"/>
          <w:szCs w:val="36"/>
        </w:rPr>
        <w:t>第一部分 长沙市天心区市政设施维护中心概况</w:t>
      </w:r>
      <w:r>
        <w:rPr>
          <w:b/>
          <w:bCs/>
          <w:color w:val="000000"/>
          <w:sz w:val="21"/>
          <w:szCs w:val="21"/>
        </w:rPr>
        <w:t xml:space="preserve"> </w:t>
      </w: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ind w:left="0" w:right="0" w:firstLine="0"/>
      </w:pPr>
      <w:r>
        <w:rPr>
          <w:rFonts w:hint="eastAsia" w:ascii="黑体" w:hAnsi="宋体" w:eastAsia="黑体" w:cs="黑体"/>
          <w:color w:val="000000"/>
          <w:sz w:val="32"/>
          <w:szCs w:val="32"/>
        </w:rPr>
        <w:t> </w:t>
      </w:r>
      <w:r>
        <w:rPr>
          <w:color w:val="000000"/>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一、部门职责</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（一）天心区市政设施维护中心为区政府事业单位，经费来源为差额拨款。</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（二）主要工作：为天心区生产生活正常提供市政工程设施管理维护保障，承担区内城市道路设施维护管理、城市道路排水设施维护管理、市政设施应急抢修等社会管理重点业务工作。</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二、机构设置及决算单位构成</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（一）内设机构设置</w:t>
      </w:r>
    </w:p>
    <w:p>
      <w:pPr>
        <w:pStyle w:val="14"/>
        <w:spacing w:before="0" w:beforeAutospacing="0" w:after="2" w:afterAutospacing="0"/>
        <w:ind w:left="0" w:firstLine="641"/>
        <w:rPr>
          <w:sz w:val="27"/>
          <w:szCs w:val="27"/>
        </w:rPr>
      </w:pPr>
      <w:r>
        <w:rPr>
          <w:rFonts w:ascii="宋体" w:hAnsi="宋体" w:eastAsia="宋体" w:cs="宋体"/>
          <w:color w:val="000000"/>
          <w:sz w:val="32"/>
          <w:szCs w:val="32"/>
        </w:rPr>
        <w:t>本部门由1个事业单位、12个内设科室组成，无二级机构。事业单位具体为：天心区市政设施维护中心；内设科室具体为：党政办、工会、劳资人事科、财务科、巡查维护科、防涝排渍科、内审科、督查科、设备科、工程科、路政审批科、数字管理科等十二个科室。</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（二）决算单位构成</w:t>
      </w:r>
    </w:p>
    <w:p>
      <w:pPr>
        <w:pStyle w:val="14"/>
        <w:spacing w:before="0" w:beforeAutospacing="0" w:after="2" w:afterAutospacing="0"/>
        <w:ind w:left="0" w:firstLine="641"/>
        <w:rPr>
          <w:sz w:val="27"/>
          <w:szCs w:val="27"/>
        </w:rPr>
      </w:pPr>
      <w:r>
        <w:rPr>
          <w:rFonts w:ascii="宋体" w:hAnsi="宋体" w:eastAsia="宋体" w:cs="宋体"/>
          <w:color w:val="000000"/>
          <w:sz w:val="32"/>
          <w:szCs w:val="32"/>
        </w:rPr>
        <w:t>长沙市天心区市政设施维护中心2021年部门决算汇总公开单位构成包括：长沙市天心区市政设施维护中心本级。</w:t>
      </w:r>
      <w:r>
        <w:rPr>
          <w:color w:val="000000"/>
          <w:sz w:val="27"/>
          <w:szCs w:val="27"/>
        </w:rPr>
        <w:t xml:space="preserve"> </w:t>
      </w:r>
    </w:p>
    <w:p>
      <w:pPr>
        <w:rPr>
          <w:color w:val="000000"/>
        </w:rPr>
        <w:sectPr>
          <w:pgSz w:w="11906" w:h="16838" w:orient="landscape"/>
          <w:pgMar w:top="1440" w:right="1080" w:bottom="1440" w:left="1080" w:header="851" w:footer="992" w:gutter="0"/>
          <w:paperSrc/>
          <w:cols w:space="0" w:num="1"/>
          <w:docGrid w:type="lines" w:linePitch="160" w:charSpace="0"/>
        </w:sectPr>
      </w:pPr>
    </w:p>
    <w:p>
      <w:pPr>
        <w:spacing w:before="0" w:beforeAutospacing="0" w:after="2" w:afterAutospacing="0"/>
        <w:ind w:left="0" w:firstLine="721"/>
        <w:jc w:val="center"/>
        <w:rPr>
          <w:sz w:val="21"/>
          <w:szCs w:val="21"/>
        </w:rPr>
      </w:pPr>
    </w:p>
    <w:p>
      <w:pPr>
        <w:spacing w:before="0" w:beforeAutospacing="0" w:after="2" w:afterAutospacing="0"/>
        <w:ind w:left="0" w:firstLine="721"/>
        <w:jc w:val="center"/>
        <w:rPr>
          <w:sz w:val="21"/>
          <w:szCs w:val="21"/>
        </w:rPr>
      </w:pPr>
      <w:r>
        <w:rPr>
          <w:rFonts w:hint="eastAsia" w:ascii="宋体" w:hAnsi="宋体" w:eastAsia="宋体" w:cs="宋体"/>
          <w:b/>
          <w:bCs/>
          <w:color w:val="000000"/>
          <w:sz w:val="36"/>
          <w:szCs w:val="36"/>
        </w:rPr>
        <w:t>第二部分 2021年度部门决算表</w:t>
      </w:r>
      <w:r>
        <w:rPr>
          <w:color w:val="000000"/>
          <w:sz w:val="21"/>
          <w:szCs w:val="21"/>
        </w:rPr>
        <w:t xml:space="preserve"> </w:t>
      </w:r>
    </w:p>
    <w:p>
      <w:pPr>
        <w:pStyle w:val="9"/>
        <w:keepNext w:val="0"/>
        <w:keepLines w:val="0"/>
        <w:widowControl/>
        <w:suppressLineNumbers w:val="0"/>
        <w:spacing w:before="0" w:beforeAutospacing="0" w:after="2" w:afterAutospacing="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6"/>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shd w:val="clear"/>
            <w:vAlign w:val="center"/>
          </w:tcPr>
          <w:p>
            <w:pPr>
              <w:pStyle w:val="9"/>
              <w:keepNext w:val="0"/>
              <w:keepLines w:val="0"/>
              <w:widowControl/>
              <w:suppressLineNumbers w:val="0"/>
            </w:pPr>
          </w:p>
        </w:tc>
        <w:tc>
          <w:tcPr>
            <w:tcW w:w="202" w:type="pct"/>
            <w:shd w:val="clear"/>
            <w:vAlign w:val="center"/>
          </w:tcPr>
          <w:p>
            <w:pPr>
              <w:pStyle w:val="9"/>
              <w:keepNext w:val="0"/>
              <w:keepLines w:val="0"/>
              <w:widowControl/>
              <w:suppressLineNumbers w:val="0"/>
            </w:pPr>
          </w:p>
        </w:tc>
        <w:tc>
          <w:tcPr>
            <w:tcW w:w="799" w:type="pct"/>
            <w:shd w:val="clear"/>
            <w:vAlign w:val="center"/>
          </w:tcPr>
          <w:p>
            <w:pPr>
              <w:pStyle w:val="9"/>
              <w:keepNext w:val="0"/>
              <w:keepLines w:val="0"/>
              <w:widowControl/>
              <w:suppressLineNumbers w:val="0"/>
            </w:pPr>
          </w:p>
        </w:tc>
        <w:tc>
          <w:tcPr>
            <w:tcW w:w="1497" w:type="pct"/>
            <w:shd w:val="clear"/>
            <w:vAlign w:val="center"/>
          </w:tcPr>
          <w:p>
            <w:pPr>
              <w:pStyle w:val="9"/>
              <w:keepNext w:val="0"/>
              <w:keepLines w:val="0"/>
              <w:widowControl/>
              <w:suppressLineNumbers w:val="0"/>
            </w:pPr>
          </w:p>
        </w:tc>
        <w:tc>
          <w:tcPr>
            <w:tcW w:w="1002"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997" w:type="pct"/>
            <w:gridSpan w:val="4"/>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1002"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金额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11,419.95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33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34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35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36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37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38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8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54.11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39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9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40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10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10,003.93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43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13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44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14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45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15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46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16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47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17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48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18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49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19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50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20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53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23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54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0"/>
                <w:szCs w:val="20"/>
              </w:rPr>
              <w:t xml:space="preserve">24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55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0"/>
                <w:szCs w:val="20"/>
              </w:rPr>
              <w:t xml:space="preserve">25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56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0"/>
                <w:szCs w:val="20"/>
              </w:rPr>
              <w:t xml:space="preserve">26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57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27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11,474.06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58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11,530.05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28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结余分配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59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29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55.99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60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30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31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11,530.05 </w:t>
            </w:r>
          </w:p>
        </w:tc>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62 </w:t>
            </w:r>
          </w:p>
        </w:tc>
        <w:tc>
          <w:tcPr>
            <w:tcW w:w="7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11,530.05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6"/>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注：本表反映部门本年度的总收支和年末结转结余情况。本表金额转换为万元时，因四舍五入可能存在尾数误差。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2"/>
        <w:gridCol w:w="362"/>
        <w:gridCol w:w="362"/>
        <w:gridCol w:w="3192"/>
        <w:gridCol w:w="2175"/>
        <w:gridCol w:w="1594"/>
        <w:gridCol w:w="1594"/>
        <w:gridCol w:w="1594"/>
        <w:gridCol w:w="1607"/>
        <w:gridCol w:w="1594"/>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1"/>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13" w:type="pct"/>
            <w:shd w:val="clear"/>
            <w:vAlign w:val="center"/>
          </w:tcPr>
          <w:p>
            <w:pPr>
              <w:pStyle w:val="9"/>
              <w:keepNext w:val="0"/>
              <w:keepLines w:val="0"/>
              <w:widowControl/>
              <w:suppressLineNumbers w:val="0"/>
            </w:pPr>
          </w:p>
        </w:tc>
        <w:tc>
          <w:tcPr>
            <w:tcW w:w="113" w:type="pct"/>
            <w:shd w:val="clear"/>
            <w:vAlign w:val="center"/>
          </w:tcPr>
          <w:p>
            <w:pPr>
              <w:pStyle w:val="9"/>
              <w:keepNext w:val="0"/>
              <w:keepLines w:val="0"/>
              <w:widowControl/>
              <w:suppressLineNumbers w:val="0"/>
            </w:pPr>
          </w:p>
        </w:tc>
        <w:tc>
          <w:tcPr>
            <w:tcW w:w="113" w:type="pct"/>
            <w:shd w:val="clear"/>
            <w:vAlign w:val="center"/>
          </w:tcPr>
          <w:p>
            <w:pPr>
              <w:pStyle w:val="9"/>
              <w:keepNext w:val="0"/>
              <w:keepLines w:val="0"/>
              <w:widowControl/>
              <w:suppressLineNumbers w:val="0"/>
            </w:pPr>
          </w:p>
        </w:tc>
        <w:tc>
          <w:tcPr>
            <w:tcW w:w="995" w:type="pct"/>
            <w:shd w:val="clear"/>
            <w:vAlign w:val="center"/>
          </w:tcPr>
          <w:p>
            <w:pPr>
              <w:pStyle w:val="9"/>
              <w:keepNext w:val="0"/>
              <w:keepLines w:val="0"/>
              <w:widowControl/>
              <w:suppressLineNumbers w:val="0"/>
            </w:pPr>
          </w:p>
        </w:tc>
        <w:tc>
          <w:tcPr>
            <w:tcW w:w="678" w:type="pct"/>
            <w:shd w:val="clear"/>
            <w:vAlign w:val="center"/>
          </w:tcPr>
          <w:p>
            <w:pPr>
              <w:pStyle w:val="9"/>
              <w:keepNext w:val="0"/>
              <w:keepLines w:val="0"/>
              <w:widowControl/>
              <w:suppressLineNumbers w:val="0"/>
            </w:pPr>
          </w:p>
        </w:tc>
        <w:tc>
          <w:tcPr>
            <w:tcW w:w="497" w:type="pct"/>
            <w:shd w:val="clear"/>
            <w:vAlign w:val="center"/>
          </w:tcPr>
          <w:p>
            <w:pPr>
              <w:pStyle w:val="9"/>
              <w:keepNext w:val="0"/>
              <w:keepLines w:val="0"/>
              <w:widowControl/>
              <w:suppressLineNumbers w:val="0"/>
            </w:pPr>
          </w:p>
        </w:tc>
        <w:tc>
          <w:tcPr>
            <w:tcW w:w="497" w:type="pct"/>
            <w:shd w:val="clear"/>
            <w:vAlign w:val="center"/>
          </w:tcPr>
          <w:p>
            <w:pPr>
              <w:pStyle w:val="9"/>
              <w:keepNext w:val="0"/>
              <w:keepLines w:val="0"/>
              <w:widowControl/>
              <w:suppressLineNumbers w:val="0"/>
            </w:pPr>
          </w:p>
        </w:tc>
        <w:tc>
          <w:tcPr>
            <w:tcW w:w="497" w:type="pct"/>
            <w:shd w:val="clear"/>
            <w:vAlign w:val="center"/>
          </w:tcPr>
          <w:p>
            <w:pPr>
              <w:pStyle w:val="9"/>
              <w:keepNext w:val="0"/>
              <w:keepLines w:val="0"/>
              <w:widowControl/>
              <w:suppressLineNumbers w:val="0"/>
            </w:pPr>
          </w:p>
        </w:tc>
        <w:tc>
          <w:tcPr>
            <w:tcW w:w="497" w:type="pct"/>
            <w:shd w:val="clear"/>
            <w:vAlign w:val="center"/>
          </w:tcPr>
          <w:p>
            <w:pPr>
              <w:pStyle w:val="9"/>
              <w:keepNext w:val="0"/>
              <w:keepLines w:val="0"/>
              <w:widowControl/>
              <w:suppressLineNumbers w:val="0"/>
            </w:pPr>
          </w:p>
        </w:tc>
        <w:tc>
          <w:tcPr>
            <w:tcW w:w="995"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004" w:type="pct"/>
            <w:gridSpan w:val="9"/>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995"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11,474.06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54.11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171.89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171.89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2080505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114.59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114.59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2080506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机关事业单位职业年金缴费支出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57.30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57.30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2080801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死亡抚恤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卫生健康支出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行政事业单位医疗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2101102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事业单位医疗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9,947.93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9,893.83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21203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城乡社区公共设施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9,884.26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9,830.15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2120399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其他城乡社区公共设施支出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9,884.26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9,830.15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21205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城乡社区环境卫生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2120501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城乡社区环境卫生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21299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2129999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农林水支出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21303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水利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2130306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水利工程运行与维护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21606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涉外发展服务支出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2160699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其他涉外发展服务支出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住房保障支出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22101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保障性安居工程支出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2210108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老旧小区改造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住房改革支出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2210201 </w:t>
            </w:r>
          </w:p>
        </w:tc>
        <w:tc>
          <w:tcPr>
            <w:tcW w:w="9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6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9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1"/>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注：本表反映部门本年度取得的各项收入情况。本表金额转换为万元时，因四舍五入可能存在尾数误差。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0"/>
        <w:gridCol w:w="401"/>
        <w:gridCol w:w="404"/>
        <w:gridCol w:w="3548"/>
        <w:gridCol w:w="2415"/>
        <w:gridCol w:w="1771"/>
        <w:gridCol w:w="1771"/>
        <w:gridCol w:w="1780"/>
        <w:gridCol w:w="1771"/>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5" w:type="pct"/>
            <w:shd w:val="clear"/>
            <w:vAlign w:val="center"/>
          </w:tcPr>
          <w:p>
            <w:pPr>
              <w:pStyle w:val="9"/>
              <w:keepNext w:val="0"/>
              <w:keepLines w:val="0"/>
              <w:widowControl/>
              <w:suppressLineNumbers w:val="0"/>
            </w:pPr>
          </w:p>
        </w:tc>
        <w:tc>
          <w:tcPr>
            <w:tcW w:w="125" w:type="pct"/>
            <w:shd w:val="clear"/>
            <w:vAlign w:val="center"/>
          </w:tcPr>
          <w:p>
            <w:pPr>
              <w:pStyle w:val="9"/>
              <w:keepNext w:val="0"/>
              <w:keepLines w:val="0"/>
              <w:widowControl/>
              <w:suppressLineNumbers w:val="0"/>
            </w:pPr>
          </w:p>
        </w:tc>
        <w:tc>
          <w:tcPr>
            <w:tcW w:w="125" w:type="pct"/>
            <w:shd w:val="clear"/>
            <w:vAlign w:val="center"/>
          </w:tcPr>
          <w:p>
            <w:pPr>
              <w:pStyle w:val="9"/>
              <w:keepNext w:val="0"/>
              <w:keepLines w:val="0"/>
              <w:widowControl/>
              <w:suppressLineNumbers w:val="0"/>
            </w:pPr>
          </w:p>
        </w:tc>
        <w:tc>
          <w:tcPr>
            <w:tcW w:w="1105" w:type="pct"/>
            <w:shd w:val="clear"/>
            <w:vAlign w:val="center"/>
          </w:tcPr>
          <w:p>
            <w:pPr>
              <w:pStyle w:val="9"/>
              <w:keepNext w:val="0"/>
              <w:keepLines w:val="0"/>
              <w:widowControl/>
              <w:suppressLineNumbers w:val="0"/>
            </w:pPr>
          </w:p>
        </w:tc>
        <w:tc>
          <w:tcPr>
            <w:tcW w:w="753" w:type="pct"/>
            <w:shd w:val="clear"/>
            <w:vAlign w:val="center"/>
          </w:tcPr>
          <w:p>
            <w:pPr>
              <w:pStyle w:val="9"/>
              <w:keepNext w:val="0"/>
              <w:keepLines w:val="0"/>
              <w:widowControl/>
              <w:suppressLineNumbers w:val="0"/>
            </w:pPr>
          </w:p>
        </w:tc>
        <w:tc>
          <w:tcPr>
            <w:tcW w:w="552" w:type="pct"/>
            <w:shd w:val="clear"/>
            <w:vAlign w:val="center"/>
          </w:tcPr>
          <w:p>
            <w:pPr>
              <w:pStyle w:val="9"/>
              <w:keepNext w:val="0"/>
              <w:keepLines w:val="0"/>
              <w:widowControl/>
              <w:suppressLineNumbers w:val="0"/>
            </w:pPr>
          </w:p>
        </w:tc>
        <w:tc>
          <w:tcPr>
            <w:tcW w:w="552" w:type="pct"/>
            <w:shd w:val="clear"/>
            <w:vAlign w:val="center"/>
          </w:tcPr>
          <w:p>
            <w:pPr>
              <w:pStyle w:val="9"/>
              <w:keepNext w:val="0"/>
              <w:keepLines w:val="0"/>
              <w:widowControl/>
              <w:suppressLineNumbers w:val="0"/>
            </w:pPr>
          </w:p>
        </w:tc>
        <w:tc>
          <w:tcPr>
            <w:tcW w:w="552" w:type="pct"/>
            <w:shd w:val="clear"/>
            <w:vAlign w:val="center"/>
          </w:tcPr>
          <w:p>
            <w:pPr>
              <w:pStyle w:val="9"/>
              <w:keepNext w:val="0"/>
              <w:keepLines w:val="0"/>
              <w:widowControl/>
              <w:suppressLineNumbers w:val="0"/>
            </w:pPr>
          </w:p>
        </w:tc>
        <w:tc>
          <w:tcPr>
            <w:tcW w:w="1105"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894" w:type="pct"/>
            <w:gridSpan w:val="8"/>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1105"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11,530.05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3,368.94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8,161.11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171.89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171.89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2080505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114.59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114.59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2080506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机关事业单位职业年金缴费支出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57.30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57.30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2080801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死亡抚恤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卫生健康支出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行政事业单位医疗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2101102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事业单位医疗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10,003.93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2,874.61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7,129.31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21203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城乡社区公共设施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9,940.25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2,841.97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7,098.28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2120399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其他城乡社区公共设施支出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9,940.25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2,841.97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7,098.28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21205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城乡社区环境卫生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2120501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城乡社区环境卫生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21299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2129999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农林水支出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21303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水利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2130306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水利工程运行与维护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21606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涉外发展服务支出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2160699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其他涉外发展服务支出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住房保障支出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22101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保障性安居工程支出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2210108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老旧小区改造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住房改革支出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2210201 </w:t>
            </w:r>
          </w:p>
        </w:tc>
        <w:tc>
          <w:tcPr>
            <w:tcW w:w="11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7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注：本表反映部门本年度各项支出情况。本表金额转换为万元时，因四舍五入可能存在尾数误差。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04"/>
        <w:gridCol w:w="529"/>
        <w:gridCol w:w="1559"/>
        <w:gridCol w:w="3692"/>
        <w:gridCol w:w="529"/>
        <w:gridCol w:w="2130"/>
        <w:gridCol w:w="1466"/>
        <w:gridCol w:w="1463"/>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9"/>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shd w:val="clear"/>
            <w:vAlign w:val="center"/>
          </w:tcPr>
          <w:p>
            <w:pPr>
              <w:pStyle w:val="9"/>
              <w:keepNext w:val="0"/>
              <w:keepLines w:val="0"/>
              <w:widowControl/>
              <w:suppressLineNumbers w:val="0"/>
            </w:pPr>
          </w:p>
        </w:tc>
        <w:tc>
          <w:tcPr>
            <w:tcW w:w="165" w:type="pct"/>
            <w:shd w:val="clear"/>
            <w:vAlign w:val="center"/>
          </w:tcPr>
          <w:p>
            <w:pPr>
              <w:pStyle w:val="9"/>
              <w:keepNext w:val="0"/>
              <w:keepLines w:val="0"/>
              <w:widowControl/>
              <w:suppressLineNumbers w:val="0"/>
            </w:pPr>
          </w:p>
        </w:tc>
        <w:tc>
          <w:tcPr>
            <w:tcW w:w="486" w:type="pct"/>
            <w:shd w:val="clear"/>
            <w:vAlign w:val="center"/>
          </w:tcPr>
          <w:p>
            <w:pPr>
              <w:pStyle w:val="9"/>
              <w:keepNext w:val="0"/>
              <w:keepLines w:val="0"/>
              <w:widowControl/>
              <w:suppressLineNumbers w:val="0"/>
            </w:pPr>
          </w:p>
        </w:tc>
        <w:tc>
          <w:tcPr>
            <w:tcW w:w="1151" w:type="pct"/>
            <w:shd w:val="clear"/>
            <w:vAlign w:val="center"/>
          </w:tcPr>
          <w:p>
            <w:pPr>
              <w:pStyle w:val="9"/>
              <w:keepNext w:val="0"/>
              <w:keepLines w:val="0"/>
              <w:widowControl/>
              <w:suppressLineNumbers w:val="0"/>
            </w:pPr>
          </w:p>
        </w:tc>
        <w:tc>
          <w:tcPr>
            <w:tcW w:w="165" w:type="pct"/>
            <w:shd w:val="clear"/>
            <w:vAlign w:val="center"/>
          </w:tcPr>
          <w:p>
            <w:pPr>
              <w:pStyle w:val="9"/>
              <w:keepNext w:val="0"/>
              <w:keepLines w:val="0"/>
              <w:widowControl/>
              <w:suppressLineNumbers w:val="0"/>
            </w:pPr>
          </w:p>
        </w:tc>
        <w:tc>
          <w:tcPr>
            <w:tcW w:w="664" w:type="pct"/>
            <w:shd w:val="clear"/>
            <w:vAlign w:val="center"/>
          </w:tcPr>
          <w:p>
            <w:pPr>
              <w:pStyle w:val="9"/>
              <w:keepNext w:val="0"/>
              <w:keepLines w:val="0"/>
              <w:widowControl/>
              <w:suppressLineNumbers w:val="0"/>
            </w:pPr>
          </w:p>
        </w:tc>
        <w:tc>
          <w:tcPr>
            <w:tcW w:w="456" w:type="pct"/>
            <w:shd w:val="clear"/>
            <w:vAlign w:val="center"/>
          </w:tcPr>
          <w:p>
            <w:pPr>
              <w:pStyle w:val="9"/>
              <w:keepNext w:val="0"/>
              <w:keepLines w:val="0"/>
              <w:widowControl/>
              <w:suppressLineNumbers w:val="0"/>
            </w:pPr>
          </w:p>
        </w:tc>
        <w:tc>
          <w:tcPr>
            <w:tcW w:w="912"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087" w:type="pct"/>
            <w:gridSpan w:val="7"/>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912"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收 入 </w:t>
            </w:r>
          </w:p>
        </w:tc>
        <w:tc>
          <w:tcPr>
            <w:tcW w:w="3349"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一、一般公共预算财政拨款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11,419.95 </w:t>
            </w: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一、一般公共服务支出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33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二、政府性基金预算财政拨款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二、外交支出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34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三、国有资本经营财政拨款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三、国防支出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35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四、公共安全支出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36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五、教育支出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37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六、科学技术支出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38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七、文化旅游体育与传媒支出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39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8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八、社会保障和就业支出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40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9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九、卫生健康支出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41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10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十、节能环保支出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42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11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十一、城乡社区支出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43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9,893.83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9,893.83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12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十二、农林水支出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44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13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十三、交通运输支出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45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14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十四、资源勘探工业信息等支出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46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15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十五、商业服务业等支出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47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16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十六、金融支出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48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17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十七、援助其他地区支出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49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18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十八、自然资源海洋气象等支出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50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19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十九、住房保障支出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51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20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二十、粮油物资储备支出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52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21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二十一、国有资本经营预算支出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53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22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二十二、灾害防治及应急管理支出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54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23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二十三、其他支出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55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24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二十四、债务还本支出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56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25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二十五、债务付息支出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57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26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二十六、抗疫特别国债安排的支出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58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本年收入合计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27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本年支出合计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59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年初财政拨款结转和结余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28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年末财政拨款结转和结余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60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一般公共预算财政拨款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29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61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政府性基金预算财政拨款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30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62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国有资本经营预算财政拨款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31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63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32 </w:t>
            </w:r>
          </w:p>
        </w:tc>
        <w:tc>
          <w:tcPr>
            <w:tcW w:w="4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115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64 </w:t>
            </w:r>
          </w:p>
        </w:tc>
        <w:tc>
          <w:tcPr>
            <w:tcW w:w="6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9"/>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41" w:type="pct"/>
            <w:shd w:val="clear"/>
            <w:vAlign w:val="center"/>
          </w:tcPr>
          <w:p>
            <w:pPr>
              <w:pStyle w:val="9"/>
              <w:keepNext w:val="0"/>
              <w:keepLines w:val="0"/>
              <w:widowControl/>
              <w:suppressLineNumbers w:val="0"/>
            </w:pPr>
          </w:p>
        </w:tc>
        <w:tc>
          <w:tcPr>
            <w:tcW w:w="141" w:type="pct"/>
            <w:shd w:val="clear"/>
            <w:vAlign w:val="center"/>
          </w:tcPr>
          <w:p>
            <w:pPr>
              <w:pStyle w:val="9"/>
              <w:keepNext w:val="0"/>
              <w:keepLines w:val="0"/>
              <w:widowControl/>
              <w:suppressLineNumbers w:val="0"/>
            </w:pPr>
          </w:p>
        </w:tc>
        <w:tc>
          <w:tcPr>
            <w:tcW w:w="141" w:type="pct"/>
            <w:shd w:val="clear"/>
            <w:vAlign w:val="center"/>
          </w:tcPr>
          <w:p>
            <w:pPr>
              <w:pStyle w:val="9"/>
              <w:keepNext w:val="0"/>
              <w:keepLines w:val="0"/>
              <w:widowControl/>
              <w:suppressLineNumbers w:val="0"/>
            </w:pPr>
          </w:p>
        </w:tc>
        <w:tc>
          <w:tcPr>
            <w:tcW w:w="1683" w:type="pct"/>
            <w:shd w:val="clear"/>
            <w:vAlign w:val="center"/>
          </w:tcPr>
          <w:p>
            <w:pPr>
              <w:pStyle w:val="9"/>
              <w:keepNext w:val="0"/>
              <w:keepLines w:val="0"/>
              <w:widowControl/>
              <w:suppressLineNumbers w:val="0"/>
            </w:pPr>
          </w:p>
        </w:tc>
        <w:tc>
          <w:tcPr>
            <w:tcW w:w="964" w:type="pct"/>
            <w:shd w:val="clear"/>
            <w:vAlign w:val="center"/>
          </w:tcPr>
          <w:p>
            <w:pPr>
              <w:pStyle w:val="9"/>
              <w:keepNext w:val="0"/>
              <w:keepLines w:val="0"/>
              <w:widowControl/>
              <w:suppressLineNumbers w:val="0"/>
            </w:pPr>
          </w:p>
        </w:tc>
        <w:tc>
          <w:tcPr>
            <w:tcW w:w="1928"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71" w:type="pct"/>
            <w:gridSpan w:val="5"/>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1928"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89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11,419.95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3,368.94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8,051.01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175.53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171.89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171.89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2080505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114.59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114.59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2080506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机关事业单位职业年金缴费支出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57.30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57.30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2080801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死亡抚恤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卫生健康支出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行政事业单位医疗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2101102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事业单位医疗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117.18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9,893.83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2,874.61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7,019.22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21203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城乡社区公共设施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9,830.15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2,841.97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6,988.18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2120399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其他城乡社区公共设施支出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9,830.15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2,841.97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6,988.18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21205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城乡社区环境卫生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2120501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城乡社区环境卫生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32.64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21299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2129999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其他城乡社区支出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农林水支出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21303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水利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2130306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水利工程运行与维护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21606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涉外发展服务支出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2160699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其他涉外发展服务支出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住房保障支出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1,228.95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22101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保障性安居工程支出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2210108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老旧小区改造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1,027.33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住房改革支出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2210201 </w:t>
            </w:r>
          </w:p>
        </w:tc>
        <w:tc>
          <w:tcPr>
            <w:tcW w:w="168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201.62 </w:t>
            </w:r>
          </w:p>
        </w:tc>
        <w:tc>
          <w:tcPr>
            <w:tcW w:w="96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注：本表反映部门本年度一般公共预算财政拨款支出情况。本表金额转换为万元时，因四舍五入可能存在尾数误差。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8"/>
        <w:gridCol w:w="3380"/>
        <w:gridCol w:w="1726"/>
        <w:gridCol w:w="719"/>
        <w:gridCol w:w="2659"/>
        <w:gridCol w:w="1726"/>
        <w:gridCol w:w="722"/>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9"/>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一般公共预算财政拨款基本支出决算明细表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shd w:val="clear"/>
            <w:vAlign w:val="center"/>
          </w:tcPr>
          <w:p>
            <w:pPr>
              <w:pStyle w:val="9"/>
              <w:keepNext w:val="0"/>
              <w:keepLines w:val="0"/>
              <w:widowControl/>
              <w:suppressLineNumbers w:val="0"/>
            </w:pPr>
          </w:p>
        </w:tc>
        <w:tc>
          <w:tcPr>
            <w:tcW w:w="1053" w:type="pct"/>
            <w:shd w:val="clear"/>
            <w:vAlign w:val="center"/>
          </w:tcPr>
          <w:p>
            <w:pPr>
              <w:pStyle w:val="9"/>
              <w:keepNext w:val="0"/>
              <w:keepLines w:val="0"/>
              <w:widowControl/>
              <w:suppressLineNumbers w:val="0"/>
            </w:pPr>
          </w:p>
        </w:tc>
        <w:tc>
          <w:tcPr>
            <w:tcW w:w="538" w:type="pct"/>
            <w:shd w:val="clear"/>
            <w:vAlign w:val="center"/>
          </w:tcPr>
          <w:p>
            <w:pPr>
              <w:pStyle w:val="9"/>
              <w:keepNext w:val="0"/>
              <w:keepLines w:val="0"/>
              <w:widowControl/>
              <w:suppressLineNumbers w:val="0"/>
            </w:pPr>
          </w:p>
        </w:tc>
        <w:tc>
          <w:tcPr>
            <w:tcW w:w="224" w:type="pct"/>
            <w:shd w:val="clear"/>
            <w:vAlign w:val="center"/>
          </w:tcPr>
          <w:p>
            <w:pPr>
              <w:pStyle w:val="9"/>
              <w:keepNext w:val="0"/>
              <w:keepLines w:val="0"/>
              <w:widowControl/>
              <w:suppressLineNumbers w:val="0"/>
            </w:pPr>
          </w:p>
        </w:tc>
        <w:tc>
          <w:tcPr>
            <w:tcW w:w="829" w:type="pct"/>
            <w:shd w:val="clear"/>
            <w:vAlign w:val="center"/>
          </w:tcPr>
          <w:p>
            <w:pPr>
              <w:pStyle w:val="9"/>
              <w:keepNext w:val="0"/>
              <w:keepLines w:val="0"/>
              <w:widowControl/>
              <w:suppressLineNumbers w:val="0"/>
            </w:pPr>
          </w:p>
        </w:tc>
        <w:tc>
          <w:tcPr>
            <w:tcW w:w="538" w:type="pct"/>
            <w:shd w:val="clear"/>
            <w:vAlign w:val="center"/>
          </w:tcPr>
          <w:p>
            <w:pPr>
              <w:pStyle w:val="9"/>
              <w:keepNext w:val="0"/>
              <w:keepLines w:val="0"/>
              <w:widowControl/>
              <w:suppressLineNumbers w:val="0"/>
            </w:pPr>
          </w:p>
        </w:tc>
        <w:tc>
          <w:tcPr>
            <w:tcW w:w="224" w:type="pct"/>
            <w:shd w:val="clear"/>
            <w:vAlign w:val="center"/>
          </w:tcPr>
          <w:p>
            <w:pPr>
              <w:pStyle w:val="9"/>
              <w:keepNext w:val="0"/>
              <w:keepLines w:val="0"/>
              <w:widowControl/>
              <w:suppressLineNumbers w:val="0"/>
            </w:pPr>
          </w:p>
        </w:tc>
        <w:tc>
          <w:tcPr>
            <w:tcW w:w="1367" w:type="pct"/>
            <w:gridSpan w:val="2"/>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632" w:type="pct"/>
            <w:gridSpan w:val="7"/>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1367" w:type="pct"/>
            <w:gridSpan w:val="2"/>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人员经费 </w:t>
            </w:r>
          </w:p>
        </w:tc>
        <w:tc>
          <w:tcPr>
            <w:tcW w:w="3183"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301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工资福利支出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2,577.88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302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商品和服务支出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127.36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307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债务利息及费用支出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30101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基本工资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68.10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办公费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25.40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30701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国内债务付息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30102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津贴补贴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0.48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印刷费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30702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国外债务付息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30103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奖金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1,106.73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30203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咨询费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310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资本性支出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30106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伙食补助费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30204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手续费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房屋建筑物购建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30107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绩效工资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304.13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30205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水费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1.46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办公设备购置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30108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171.15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30206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电费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3.13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31003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专用设备购置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30109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职业年金缴费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85.57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30207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邮电费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1.49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31005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基础设施建设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30110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职工基本医疗保险缴费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126.27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30208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取暖费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31006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大型修缮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30111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公务员医疗补助缴费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8.04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物业管理费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31007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信息网络及软件购置更新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30112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其他社会保障缴费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0.52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差旅费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31008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物资储备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30113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403.24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因公出国（境）费用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土地补偿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30114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医疗费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30213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维修（护）费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31010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安置补助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30199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其他工资福利支出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303.64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30214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租赁费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地上附着物和青苗补偿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303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对个人和家庭的补助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663.70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30215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会议费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拆迁补偿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30301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离休费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30216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培训费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2.54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31013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公务用车购置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30302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退休费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30217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公务接待费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其他交通工具购置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30303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退职（役）费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30218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专用材料费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31021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文物和陈列品购置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30304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抚恤金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4.55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30224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被装购置费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31022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无形资产购置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30305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生活补助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628.07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30225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专用燃料费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31099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其他资本性支出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30306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救济费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30226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劳务费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399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30307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医疗费补助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30227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委托业务费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39906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赠与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30308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助学金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30228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工会经费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44.50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39907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国家赔偿费用支出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30309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奖励金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福利费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39908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对民间非营利组织和群众性自治组织补贴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30310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个人农业生产补贴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30231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公务用车运行维护费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39999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30311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代缴社会保险费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30239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其他交通费用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13.39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30399 </w:t>
            </w: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其他对个人和家庭的补助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31.08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30240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税金及附加费用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5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30299 </w:t>
            </w: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其他商品和服务支出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22"/>
                <w:szCs w:val="22"/>
              </w:rPr>
              <w:t xml:space="preserve">35.45 </w:t>
            </w:r>
          </w:p>
        </w:tc>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2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人员经费合计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3,241.58 </w:t>
            </w:r>
          </w:p>
        </w:tc>
        <w:tc>
          <w:tcPr>
            <w:tcW w:w="2645" w:type="pct"/>
            <w:gridSpan w:val="5"/>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公用经费合计 </w:t>
            </w:r>
          </w:p>
        </w:tc>
        <w:tc>
          <w:tcPr>
            <w:tcW w:w="53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127.36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9"/>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注：本表反映部门本年度一般公共预算财政拨款基本支出明细情况。本表金额转换为万元时，因四舍五入可能存在尾数误差。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2"/>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416" w:type="pct"/>
            <w:shd w:val="clear"/>
            <w:vAlign w:val="center"/>
          </w:tcPr>
          <w:p>
            <w:pPr>
              <w:pStyle w:val="9"/>
              <w:keepNext w:val="0"/>
              <w:keepLines w:val="0"/>
              <w:widowControl/>
              <w:suppressLineNumbers w:val="0"/>
            </w:pPr>
          </w:p>
        </w:tc>
        <w:tc>
          <w:tcPr>
            <w:tcW w:w="833"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6" w:type="pct"/>
            <w:gridSpan w:val="10"/>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833"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8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9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2"/>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单位没有一般公共预算财政拨款收入，也没有使用一般公共预算财政拨款安排的支出，故本表无数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3"/>
        <w:gridCol w:w="334"/>
        <w:gridCol w:w="334"/>
        <w:gridCol w:w="3458"/>
        <w:gridCol w:w="1180"/>
        <w:gridCol w:w="1969"/>
        <w:gridCol w:w="1075"/>
        <w:gridCol w:w="1527"/>
        <w:gridCol w:w="1517"/>
        <w:gridCol w:w="4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04" w:type="pct"/>
            <w:shd w:val="clear"/>
            <w:vAlign w:val="center"/>
          </w:tcPr>
          <w:p>
            <w:pPr>
              <w:pStyle w:val="9"/>
              <w:keepNext w:val="0"/>
              <w:keepLines w:val="0"/>
              <w:widowControl/>
              <w:suppressLineNumbers w:val="0"/>
            </w:pPr>
          </w:p>
        </w:tc>
        <w:tc>
          <w:tcPr>
            <w:tcW w:w="104" w:type="pct"/>
            <w:shd w:val="clear"/>
            <w:vAlign w:val="center"/>
          </w:tcPr>
          <w:p>
            <w:pPr>
              <w:pStyle w:val="9"/>
              <w:keepNext w:val="0"/>
              <w:keepLines w:val="0"/>
              <w:widowControl/>
              <w:suppressLineNumbers w:val="0"/>
            </w:pPr>
          </w:p>
        </w:tc>
        <w:tc>
          <w:tcPr>
            <w:tcW w:w="104" w:type="pct"/>
            <w:shd w:val="clear"/>
            <w:vAlign w:val="center"/>
          </w:tcPr>
          <w:p>
            <w:pPr>
              <w:pStyle w:val="9"/>
              <w:keepNext w:val="0"/>
              <w:keepLines w:val="0"/>
              <w:widowControl/>
              <w:suppressLineNumbers w:val="0"/>
            </w:pPr>
          </w:p>
        </w:tc>
        <w:tc>
          <w:tcPr>
            <w:tcW w:w="1078" w:type="pct"/>
            <w:shd w:val="clear"/>
            <w:vAlign w:val="center"/>
          </w:tcPr>
          <w:p>
            <w:pPr>
              <w:pStyle w:val="9"/>
              <w:keepNext w:val="0"/>
              <w:keepLines w:val="0"/>
              <w:widowControl/>
              <w:suppressLineNumbers w:val="0"/>
            </w:pPr>
          </w:p>
        </w:tc>
        <w:tc>
          <w:tcPr>
            <w:tcW w:w="368" w:type="pct"/>
            <w:shd w:val="clear"/>
            <w:vAlign w:val="center"/>
          </w:tcPr>
          <w:p>
            <w:pPr>
              <w:pStyle w:val="9"/>
              <w:keepNext w:val="0"/>
              <w:keepLines w:val="0"/>
              <w:widowControl/>
              <w:suppressLineNumbers w:val="0"/>
            </w:pPr>
          </w:p>
        </w:tc>
        <w:tc>
          <w:tcPr>
            <w:tcW w:w="614" w:type="pct"/>
            <w:shd w:val="clear"/>
            <w:vAlign w:val="center"/>
          </w:tcPr>
          <w:p>
            <w:pPr>
              <w:pStyle w:val="9"/>
              <w:keepNext w:val="0"/>
              <w:keepLines w:val="0"/>
              <w:widowControl/>
              <w:suppressLineNumbers w:val="0"/>
            </w:pPr>
          </w:p>
        </w:tc>
        <w:tc>
          <w:tcPr>
            <w:tcW w:w="335" w:type="pct"/>
            <w:shd w:val="clear"/>
            <w:vAlign w:val="center"/>
          </w:tcPr>
          <w:p>
            <w:pPr>
              <w:pStyle w:val="9"/>
              <w:keepNext w:val="0"/>
              <w:keepLines w:val="0"/>
              <w:widowControl/>
              <w:suppressLineNumbers w:val="0"/>
            </w:pPr>
          </w:p>
        </w:tc>
        <w:tc>
          <w:tcPr>
            <w:tcW w:w="473" w:type="pct"/>
            <w:shd w:val="clear"/>
            <w:vAlign w:val="center"/>
          </w:tcPr>
          <w:p>
            <w:pPr>
              <w:pStyle w:val="9"/>
              <w:keepNext w:val="0"/>
              <w:keepLines w:val="0"/>
              <w:widowControl/>
              <w:suppressLineNumbers w:val="0"/>
            </w:pPr>
          </w:p>
        </w:tc>
        <w:tc>
          <w:tcPr>
            <w:tcW w:w="1816"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83" w:type="pct"/>
            <w:gridSpan w:val="8"/>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1816"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年初结转和结余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本年收入 </w:t>
            </w:r>
          </w:p>
        </w:tc>
        <w:tc>
          <w:tcPr>
            <w:tcW w:w="1281"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0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36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1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3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3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9"/>
        <w:keepNext w:val="0"/>
        <w:keepLines w:val="0"/>
        <w:widowControl/>
        <w:suppressLineNumbers w:val="0"/>
      </w:pPr>
    </w:p>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center"/>
            </w:pPr>
            <w:r>
              <w:rPr>
                <w:rFonts w:ascii="宋体" w:hAnsi="宋体" w:eastAsia="宋体" w:cs="宋体"/>
                <w:b w:val="0"/>
                <w:bCs w:val="0"/>
                <w:sz w:val="40"/>
                <w:szCs w:val="40"/>
              </w:rPr>
              <w:t xml:space="preserve">国有资本经营预算财政拨款支出决算表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5" w:type="pct"/>
            <w:shd w:val="clear"/>
            <w:vAlign w:val="center"/>
          </w:tcPr>
          <w:p>
            <w:pPr>
              <w:pStyle w:val="9"/>
              <w:keepNext w:val="0"/>
              <w:keepLines w:val="0"/>
              <w:widowControl/>
              <w:suppressLineNumbers w:val="0"/>
            </w:pPr>
          </w:p>
        </w:tc>
        <w:tc>
          <w:tcPr>
            <w:tcW w:w="165" w:type="pct"/>
            <w:shd w:val="clear"/>
            <w:vAlign w:val="center"/>
          </w:tcPr>
          <w:p>
            <w:pPr>
              <w:pStyle w:val="9"/>
              <w:keepNext w:val="0"/>
              <w:keepLines w:val="0"/>
              <w:widowControl/>
              <w:suppressLineNumbers w:val="0"/>
            </w:pPr>
          </w:p>
        </w:tc>
        <w:tc>
          <w:tcPr>
            <w:tcW w:w="165" w:type="pct"/>
            <w:shd w:val="clear"/>
            <w:vAlign w:val="center"/>
          </w:tcPr>
          <w:p>
            <w:pPr>
              <w:pStyle w:val="9"/>
              <w:keepNext w:val="0"/>
              <w:keepLines w:val="0"/>
              <w:widowControl/>
              <w:suppressLineNumbers w:val="0"/>
            </w:pPr>
          </w:p>
        </w:tc>
        <w:tc>
          <w:tcPr>
            <w:tcW w:w="1972" w:type="pct"/>
            <w:shd w:val="clear"/>
            <w:vAlign w:val="center"/>
          </w:tcPr>
          <w:p>
            <w:pPr>
              <w:pStyle w:val="9"/>
              <w:keepNext w:val="0"/>
              <w:keepLines w:val="0"/>
              <w:widowControl/>
              <w:suppressLineNumbers w:val="0"/>
            </w:pPr>
          </w:p>
        </w:tc>
        <w:tc>
          <w:tcPr>
            <w:tcW w:w="843" w:type="pct"/>
            <w:shd w:val="clear"/>
            <w:vAlign w:val="center"/>
          </w:tcPr>
          <w:p>
            <w:pPr>
              <w:pStyle w:val="9"/>
              <w:keepNext w:val="0"/>
              <w:keepLines w:val="0"/>
              <w:widowControl/>
              <w:suppressLineNumbers w:val="0"/>
            </w:pPr>
          </w:p>
        </w:tc>
        <w:tc>
          <w:tcPr>
            <w:tcW w:w="1686"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13" w:type="pct"/>
            <w:gridSpan w:val="5"/>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部门：长沙市天心区市政设施维护中心 </w:t>
            </w:r>
          </w:p>
        </w:tc>
        <w:tc>
          <w:tcPr>
            <w:tcW w:w="1686" w:type="pct"/>
            <w:gridSpan w:val="2"/>
            <w:shd w:val="clear"/>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5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19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spacing w:before="0" w:beforeAutospacing="0" w:after="2" w:afterAutospacing="0"/>
        <w:jc w:val="center"/>
        <w:rPr>
          <w:sz w:val="21"/>
          <w:szCs w:val="21"/>
        </w:rPr>
      </w:pPr>
      <w:r>
        <w:rPr>
          <w:rFonts w:hint="eastAsia" w:ascii="宋体" w:hAnsi="宋体" w:eastAsia="宋体" w:cs="宋体"/>
          <w:b/>
          <w:bCs/>
          <w:color w:val="000000"/>
          <w:sz w:val="36"/>
          <w:szCs w:val="36"/>
        </w:rPr>
        <w:t>第三部分 2021年度部门决算情况说明</w:t>
      </w:r>
      <w:r>
        <w:rPr>
          <w:color w:val="000000"/>
          <w:sz w:val="21"/>
          <w:szCs w:val="21"/>
        </w:rPr>
        <w:t xml:space="preserve"> </w:t>
      </w:r>
    </w:p>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一、收入支出决算总体情况说明</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2021年度收、支总计11,530.05万元。与上一年度相比，收、支总计各减少408.87万元，下降3.42%。主要是因为日常维护经费和城管专项经费减少。</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二、收入决算情况说明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2021年度收入合计11,474.06万元，其中：财政拨款收入11,419.95万元，占99.53%；上级补助收入0万元，占0%；事业收入0万元，占0%；经营收入0万元，占0%；附属单位上缴收入0万元，占0%；其他收入54.11万元，占0.47%。</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三、支出决算情况说明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2021年度支出合计11,530.05万元，其中：基本支出3,368.94万元，占29.22%；项目支出8,161.11万元，占70.78%；上缴上级支出0万元，占0%；经营支出0万元，占0%；对附属单位补助支出0万元，占0%。</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四、财政拨款收入支出决算总体情况说明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2021年度财政拨款收、支总计11,419.95万元。与上一年度相比，财政拨款收、支总计各增加25.49万元，增长0.22%。主要是因为年终结余资金和代管资金减少，财政拨款增多。</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五、一般公共预算财政拨款支出决算情况说明</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（一）财政拨款支出决算总体情况</w:t>
      </w:r>
      <w:r>
        <w:rPr>
          <w:color w:val="000000"/>
          <w:sz w:val="27"/>
          <w:szCs w:val="27"/>
        </w:rPr>
        <w:t xml:space="preserve"> </w:t>
      </w:r>
    </w:p>
    <w:p>
      <w:pPr>
        <w:pStyle w:val="14"/>
        <w:spacing w:before="0" w:beforeAutospacing="0" w:after="2" w:afterAutospacing="0"/>
        <w:ind w:left="0" w:firstLine="855"/>
        <w:rPr>
          <w:sz w:val="27"/>
          <w:szCs w:val="27"/>
        </w:rPr>
      </w:pPr>
      <w:r>
        <w:rPr>
          <w:rFonts w:ascii="宋体" w:hAnsi="宋体" w:eastAsia="宋体" w:cs="宋体"/>
          <w:color w:val="000000"/>
          <w:sz w:val="32"/>
          <w:szCs w:val="32"/>
        </w:rPr>
        <w:t>2021年度财政拨款支出11,419.95万元，占本年支出合计的99.05%。与上一年度相比，财政拨款支出增加114.72万元，增长1.01%。主要是因为年终结余资金和代管资金减少，财政拨款增多。</w:t>
      </w:r>
      <w:r>
        <w:rPr>
          <w:rFonts w:hint="eastAsia" w:ascii="宋体" w:hAnsi="宋体" w:eastAsia="宋体" w:cs="宋体"/>
          <w:color w:val="000000"/>
          <w:sz w:val="32"/>
          <w:szCs w:val="32"/>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（二）财政拨款支出决算结构情况</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财政拨款支出11,419.95万元，主要用于以下方面：社会保障和就业支出175.53万元，占1.54%；卫生健康支出117.18万元，占1.03%；城乡社区支出9,893.83万元，占86.63%；农林水支出3.02万元，占0.03%；商业服务业等支出1.44万元，占0.01%；住房保障支出1,228.95万元，占10.76%。</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b/>
          <w:bCs/>
          <w:color w:val="000000"/>
          <w:sz w:val="32"/>
          <w:szCs w:val="32"/>
        </w:rPr>
        <w:t>（三）财政拨款支出决算具体情况</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2021年度财政拨款支出年初预算数为2,738.1万元，支出决算数为11,419.95万元，完成年初预算的417.08%，其中：</w:t>
      </w:r>
      <w:r>
        <w:rPr>
          <w:color w:val="000000"/>
          <w:sz w:val="27"/>
          <w:szCs w:val="27"/>
        </w:rPr>
        <w:t xml:space="preserve"> </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1、社会保障和就业支出（类）行政事业单位养老支出（款）机关事业单位基本养老保险缴费支出（项）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年初预算为118.39万元，支出决算为114.59万元，完成年初预算的96.79%。决算数小于年初预算数的主要原因是：职工工资薪级调整，人事调动。</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2、社会保障和就业支出（类）行政事业单位养老支出（款）机关事业单位职业年金缴费支出（项）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年初预算为59.2万元，支出决算为57.3万元，完成年初预算的96.79%。决算数小于年初预算数的主要原因是：职工工资薪级调整，人事调动。</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3、社会保障和就业支出（类）抚恤（款）死亡抚恤（项）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年初预算为0万元，支出决算为3.64万元，决算数大于年初预算数的主要原因是：退休人员去世。</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4、卫生健康支出（类）行政事业单位医疗（款）事业单位医疗（项）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年初预算为119.88万元，支出决算为117.18万元，完成年初预算的97.75%。决算数小于年初预算数的主要原因是：职工工资薪级调整，人事调动。</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5、城乡社区支出（类）城乡社区公共设施（款）其他城乡社区公共设施支出（项）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年初预算为2,241.3万元，支出决算为9,830.15万元，完成年初预算的438.59%。决算数大于年初预算数的主要原因是：日常维护经费和城管专项经费增加。</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6、城乡社区支出（类）城乡社区环境卫生（款）城乡社区环境卫生（项）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年初预算为0万元，支出决算为32.64万元，决算数大于年初预算数的主要原因是：日常维护经费和城管专项经费增加。</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7、城乡社区支出（类）其他城乡社区支出（款）其他城乡社区支出（项）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年初预算为0万元，支出决算为31.04万元，决算数大于年初预算数的主要原因是：日常维护经费和城管专项经费增加。</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8、农林水支出（类）水利（款）水利工程运行与维护（项）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年初预算为0万元，支出决算为3.02万元，决算数大于年初预算数的主要原因是：日常维护经费和城管专项经费增加。</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9、商业服务业等支出（类）涉外发展服务支出（款）其他涉外发展服务支出（项）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年初预算为0万元，支出决算为1.44万元，决算数大于年初预算数的主要原因是：日常维护经费和城管专项经费增加。</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10、住房保障支出（类）保障性安居工程支出（款）老旧小区改造（项）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年初预算为0万元，支出决算为1,027.33万元，决算数大于年初预算数的主要原因是：中央资金（老旧小区改造）增加。</w:t>
      </w:r>
    </w:p>
    <w:p>
      <w:pPr>
        <w:pStyle w:val="14"/>
        <w:spacing w:before="0" w:beforeAutospacing="0" w:after="2" w:afterAutospacing="0"/>
        <w:ind w:left="0" w:firstLine="641"/>
        <w:rPr>
          <w:sz w:val="27"/>
          <w:szCs w:val="27"/>
        </w:rPr>
      </w:pPr>
      <w:r>
        <w:rPr>
          <w:rStyle w:val="12"/>
          <w:rFonts w:hint="eastAsia" w:ascii="宋体" w:hAnsi="宋体" w:eastAsia="宋体" w:cs="宋体"/>
          <w:color w:val="000000"/>
          <w:sz w:val="32"/>
          <w:szCs w:val="32"/>
        </w:rPr>
        <w:t>11、住房保障支出（类）住房改革支出（款）住房公积金（项）</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年初预算为199.33万元，支出决算为201.62万元，完成年初预算的101.15%。决算数大于年初预算数的主要原因是：职工工资薪级调整。</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六、一般公共预算财政拨款基本支出决算情况说明</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2021年度财政拨款基本支出3,368.94万元，其中：人员经费3,241.58万元，占基本支出的96.22%，主要包括：基本工资、津贴补贴、奖金、绩效工资、机关事业单位基本养老保险缴费、职业年金缴费、职工基本医疗保险缴费、公务员医疗补助缴费、其他社会保障缴费、住房公积金、其他工资福利支出、抚恤金、生活补助、其他对个人和家庭的补助。公用经费127.36万元，占基本支出的3.78%，主要包括：办公费、水费、电费、邮电费、培训费、工会经费、其他交通费用、其他商品和服务支出。</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七、一般公共预算财政拨款三公经费支出决算情况说明</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（一）“三公”经费财政拨款支出决算总体情况说明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2021年度“三公”经费财政拨款支出预算为0万元，支出决算为0万元，完成预算的100%，其中：</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因公出国（境）费支出预算为0万元，支出决算为0万元，决算数与预算数一致，我单位严格按预算执行决算，因公出国（境）费支出与上年持平。</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公务接待费支出预算为0万元，支出决算为0万元，决算数与预算数一致，我单位严格按预算执行决算，公务接待费支出与上年持平。</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公务用车购置费及运行维护费支出预算为0万元，支出决算为0万元，决算数与预算数一致，我单位严格按预算执行决算，公务用车购置费及运行维护费支出与上年持平。</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（二）“三公”经费财政拨款支出决算具体情况说明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2021年度“三公”经费财政拨款支出决算中，公务接待费支出决算0万元，占0%，因公出国（境）费支出决算0万元，占0%，公务用车购置费及运行维护费支出决算0万元，占0%。其中：</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1、因公出国（境）费支出决算为0万元，全年安排因公出国（境）团组0个，累计0人次，我单位2021年度无因公出国（境）费支出。</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2、公务接待费支出决算为0万元，全年共接待来访团组0个、来宾0人次，我单位2021年度无公务接待费支出。</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3、公务用车购置费及运行维护费支出决算为0万元，其中：公务用车购置费0万元。公务用车运行维护费0万元，截至2021年12月31日，我单位开支财政拨款的公务用车保有量为0辆。我单位2021年度无公务用车购置费及运行维护费支出。</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八、政府性基金预算收入支出决算情况</w:t>
      </w:r>
      <w:r>
        <w:rPr>
          <w:color w:val="000000"/>
          <w:sz w:val="27"/>
          <w:szCs w:val="27"/>
        </w:rPr>
        <w:t xml:space="preserve"> </w:t>
      </w:r>
    </w:p>
    <w:p>
      <w:pPr>
        <w:pStyle w:val="14"/>
        <w:spacing w:before="0" w:beforeAutospacing="0" w:after="2" w:afterAutospacing="0"/>
        <w:ind w:left="0" w:firstLine="641"/>
        <w:rPr>
          <w:sz w:val="27"/>
          <w:szCs w:val="27"/>
        </w:rPr>
      </w:pPr>
      <w:r>
        <w:rPr>
          <w:rFonts w:hint="eastAsia" w:ascii="宋体" w:hAnsi="宋体" w:eastAsia="宋体" w:cs="宋体"/>
          <w:color w:val="000000"/>
          <w:sz w:val="32"/>
          <w:szCs w:val="32"/>
        </w:rPr>
        <w:t xml:space="preserve">长沙市天心区市政设施维护中心2021年度没有政府性基金收入，也没有使用政府性基金安排的支出，并已公开空表。 </w:t>
      </w:r>
    </w:p>
    <w:p>
      <w:pPr>
        <w:pStyle w:val="14"/>
        <w:spacing w:before="0" w:beforeAutospacing="0" w:after="2" w:afterAutospacing="0"/>
        <w:ind w:left="0" w:firstLine="641"/>
        <w:rPr>
          <w:sz w:val="27"/>
          <w:szCs w:val="27"/>
        </w:rPr>
      </w:pPr>
      <w:r>
        <w:rPr>
          <w:rFonts w:hint="eastAsia" w:ascii="宋体" w:hAnsi="宋体" w:eastAsia="宋体" w:cs="宋体"/>
          <w:b/>
          <w:bCs/>
          <w:color w:val="000000"/>
          <w:sz w:val="32"/>
          <w:szCs w:val="32"/>
        </w:rPr>
        <w:t>九、关于机关运行经费支出说明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i w:val="0"/>
          <w:iCs w:val="0"/>
          <w:caps w:val="0"/>
          <w:color w:val="000000"/>
          <w:spacing w:val="0"/>
          <w:sz w:val="32"/>
          <w:szCs w:val="32"/>
        </w:rPr>
        <w:t xml:space="preserve">长沙市天心区市政设施维护中心为财政补助事业单位，未纳入机关运行经费统计范围，无机关运行经费。 </w:t>
      </w:r>
    </w:p>
    <w:p>
      <w:pPr>
        <w:pStyle w:val="14"/>
        <w:spacing w:before="0" w:beforeAutospacing="0" w:after="2" w:afterAutospacing="0"/>
        <w:ind w:left="0" w:firstLine="640"/>
        <w:rPr>
          <w:sz w:val="27"/>
          <w:szCs w:val="27"/>
        </w:rPr>
      </w:pPr>
      <w:r>
        <w:rPr>
          <w:rFonts w:hint="eastAsia" w:ascii="宋体" w:hAnsi="宋体" w:eastAsia="宋体" w:cs="宋体"/>
          <w:b/>
          <w:bCs/>
          <w:color w:val="000000"/>
          <w:sz w:val="32"/>
          <w:szCs w:val="32"/>
        </w:rPr>
        <w:t>十、一般性支出情况</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2021年本部门会议费支出0万元，我单位2021年度无会议费支出；2021年本部门培训费支出2.54万元，用于开展，人数93人，培训内容为参加湖南省事业单位工作人员培训费用。</w:t>
      </w:r>
      <w:r>
        <w:rPr>
          <w:rFonts w:ascii="宋体" w:hAnsi="宋体" w:eastAsia="宋体" w:cs="宋体"/>
          <w:color w:val="000000"/>
          <w:sz w:val="32"/>
          <w:szCs w:val="32"/>
        </w:rPr>
        <w:t>未举办节庆、晚会、论坛、赛事活动等。</w:t>
      </w:r>
      <w:r>
        <w:rPr>
          <w:rFonts w:hint="eastAsia" w:ascii="宋体" w:hAnsi="宋体" w:eastAsia="宋体" w:cs="宋体"/>
          <w:i w:val="0"/>
          <w:iCs w:val="0"/>
          <w:caps w:val="0"/>
          <w:color w:val="000000"/>
          <w:spacing w:val="0"/>
          <w:sz w:val="32"/>
          <w:szCs w:val="32"/>
        </w:rPr>
        <w:t>办公费25.4万元；印刷费0万元；咨询费0万元；水费1.71万元；电费4.93万元；邮电费1.64万元；取暖费0万元；物业管理费32万元；差旅费0万元；因公出国（境）费用0万元；维修（护）费0万元；租赁费0万元；公务接待费0万元；被装购置费0万元；劳务费995.33万元；委托业务费146.78万元；公务用车运行维护费0万元；其他交通费用125.95万元；房屋建筑物购建0万元；办公设备购置0万元；公务用车购置0万元；其他交通工具购置0万元。</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b/>
          <w:bCs/>
          <w:color w:val="000000"/>
          <w:sz w:val="32"/>
          <w:szCs w:val="32"/>
        </w:rPr>
        <w:t>十一、关于政府采购支出说明</w:t>
      </w:r>
      <w:r>
        <w:rPr>
          <w:color w:val="000000"/>
          <w:sz w:val="27"/>
          <w:szCs w:val="27"/>
        </w:rPr>
        <w:t xml:space="preserve"> </w:t>
      </w:r>
    </w:p>
    <w:p>
      <w:pPr>
        <w:pStyle w:val="14"/>
        <w:spacing w:before="0" w:beforeAutospacing="0" w:after="2" w:afterAutospacing="0"/>
        <w:ind w:left="0" w:firstLine="640"/>
        <w:jc w:val="both"/>
        <w:rPr>
          <w:sz w:val="27"/>
          <w:szCs w:val="27"/>
        </w:rPr>
      </w:pPr>
      <w:r>
        <w:rPr>
          <w:rFonts w:ascii="宋体" w:hAnsi="宋体" w:eastAsia="宋体" w:cs="宋体"/>
          <w:color w:val="000000"/>
          <w:sz w:val="32"/>
          <w:szCs w:val="32"/>
        </w:rPr>
        <w:t>长沙市天心区市政设施维护中心</w:t>
      </w:r>
      <w:r>
        <w:rPr>
          <w:rFonts w:hint="eastAsia" w:ascii="宋体" w:hAnsi="宋体" w:eastAsia="宋体" w:cs="宋体"/>
          <w:color w:val="000000"/>
          <w:sz w:val="32"/>
          <w:szCs w:val="32"/>
        </w:rPr>
        <w:t xml:space="preserve">2021年度政府采购支出总额248.8万元，其中：政府采购货物支出219.27万元、政府采购工程支出0万元、政府采购服务支出29.53万元。授予中小企业合同金额248.8万元，占政府采购支出总额的100%，其中：授予小微企业合同金额248.8万元，占政府采购支出总额的100%。 </w:t>
      </w:r>
    </w:p>
    <w:p>
      <w:pPr>
        <w:pStyle w:val="14"/>
        <w:spacing w:before="0" w:beforeAutospacing="0" w:after="2" w:afterAutospacing="0"/>
        <w:ind w:left="0" w:firstLine="640"/>
        <w:rPr>
          <w:sz w:val="27"/>
          <w:szCs w:val="27"/>
        </w:rPr>
      </w:pPr>
      <w:r>
        <w:rPr>
          <w:rFonts w:hint="eastAsia" w:ascii="宋体" w:hAnsi="宋体" w:eastAsia="宋体" w:cs="宋体"/>
          <w:b/>
          <w:bCs/>
          <w:color w:val="000000"/>
          <w:sz w:val="32"/>
          <w:szCs w:val="32"/>
        </w:rPr>
        <w:t>十二、关于国有资产占用情况说明</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color w:val="000000"/>
          <w:sz w:val="32"/>
          <w:szCs w:val="32"/>
        </w:rPr>
        <w:t>截至2021年12月31日，</w:t>
      </w:r>
      <w:r>
        <w:rPr>
          <w:rFonts w:ascii="宋体" w:hAnsi="宋体" w:eastAsia="宋体" w:cs="宋体"/>
          <w:color w:val="000000"/>
          <w:sz w:val="32"/>
          <w:szCs w:val="32"/>
        </w:rPr>
        <w:t>长沙市天心区市政设施维护中心</w:t>
      </w:r>
      <w:r>
        <w:rPr>
          <w:rFonts w:hint="eastAsia" w:ascii="宋体" w:hAnsi="宋体" w:eastAsia="宋体" w:cs="宋体"/>
          <w:color w:val="000000"/>
          <w:sz w:val="32"/>
          <w:szCs w:val="32"/>
        </w:rPr>
        <w:t>共有车辆37辆（台），其中：副部（省）级及以上领导用车0辆、主要领导干部用车0辆、机要通信用车0辆、应急保障用车0辆、执法执勤用车0辆、特种专业技术用车0辆、其他用车37辆，其他用车主要是市政维护车辆；单价50万元（含）以上通用设备4台（套），单价100万元（含）以上专用设备2台（套）。</w:t>
      </w:r>
      <w:r>
        <w:rPr>
          <w:color w:val="000000"/>
          <w:sz w:val="27"/>
          <w:szCs w:val="27"/>
        </w:rPr>
        <w:t xml:space="preserve"> </w:t>
      </w:r>
    </w:p>
    <w:p>
      <w:pPr>
        <w:pStyle w:val="14"/>
        <w:spacing w:before="0" w:beforeAutospacing="0" w:after="2" w:afterAutospacing="0"/>
        <w:ind w:left="0" w:firstLine="640"/>
        <w:rPr>
          <w:sz w:val="27"/>
          <w:szCs w:val="27"/>
        </w:rPr>
      </w:pPr>
      <w:r>
        <w:rPr>
          <w:rFonts w:hint="eastAsia" w:ascii="宋体" w:hAnsi="宋体" w:eastAsia="宋体" w:cs="宋体"/>
          <w:b/>
          <w:bCs/>
          <w:color w:val="000000"/>
          <w:sz w:val="32"/>
          <w:szCs w:val="32"/>
        </w:rPr>
        <w:t>十三、关于2021年度预算绩效情况说明</w:t>
      </w:r>
      <w:r>
        <w:rPr>
          <w:color w:val="000000"/>
          <w:sz w:val="27"/>
          <w:szCs w:val="27"/>
        </w:rPr>
        <w:t xml:space="preserve"> </w:t>
      </w:r>
    </w:p>
    <w:p>
      <w:pPr>
        <w:spacing w:before="0" w:beforeAutospacing="0" w:after="2" w:afterAutospacing="0"/>
        <w:ind w:left="0" w:firstLine="640"/>
      </w:pPr>
      <w:r>
        <w:rPr>
          <w:rFonts w:ascii="宋体" w:hAnsi="宋体" w:eastAsia="宋体" w:cs="宋体"/>
          <w:color w:val="000000"/>
          <w:sz w:val="32"/>
          <w:szCs w:val="32"/>
        </w:rPr>
        <w:t>根据预算绩效管理要求，我单位组织对2021年度部门整体支出和专项资金实施了全覆盖性的绩效评价，撰写了整体支出绩效评价报告和项目支出绩效评价报告，自评覆盖率达到100%。绩效自评结果显示，上述项目支出绩效情况较为理想。具体情况见第五部分附件。</w:t>
      </w:r>
      <w:r>
        <w:rPr>
          <w:color w:val="000000"/>
        </w:rPr>
        <w:t xml:space="preserve"> </w:t>
      </w: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
      <w:pPr>
        <w:spacing w:before="0" w:beforeAutospacing="0" w:after="2" w:afterAutospacing="0"/>
        <w:jc w:val="center"/>
        <w:rPr>
          <w:sz w:val="21"/>
          <w:szCs w:val="21"/>
        </w:rPr>
      </w:pPr>
      <w:r>
        <w:rPr>
          <w:rFonts w:ascii="宋体" w:hAnsi="宋体" w:eastAsia="宋体" w:cs="宋体"/>
          <w:b/>
          <w:bCs/>
          <w:color w:val="000000"/>
          <w:sz w:val="36"/>
          <w:szCs w:val="36"/>
        </w:rPr>
        <w:t>第四部分</w:t>
      </w:r>
      <w:r>
        <w:rPr>
          <w:rFonts w:hint="eastAsia" w:ascii="宋体" w:hAnsi="宋体" w:eastAsia="宋体" w:cs="宋体"/>
          <w:b/>
          <w:bCs/>
          <w:color w:val="000000"/>
          <w:sz w:val="36"/>
          <w:szCs w:val="36"/>
        </w:rPr>
        <w:t xml:space="preserve"> </w:t>
      </w:r>
      <w:r>
        <w:rPr>
          <w:rFonts w:ascii="宋体" w:hAnsi="宋体" w:eastAsia="宋体" w:cs="宋体"/>
          <w:b/>
          <w:bCs/>
          <w:color w:val="000000"/>
          <w:sz w:val="36"/>
          <w:szCs w:val="36"/>
        </w:rPr>
        <w:t>名词解释</w:t>
      </w:r>
      <w:r>
        <w:rPr>
          <w:color w:val="000000"/>
          <w:sz w:val="21"/>
          <w:szCs w:val="21"/>
        </w:rPr>
        <w:t xml:space="preserve"> </w:t>
      </w:r>
    </w:p>
    <w:p>
      <w:pPr>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spacing w:before="0" w:beforeAutospacing="0" w:after="2" w:afterAutospacing="0" w:line="336" w:lineRule="atLeast"/>
        <w:ind w:left="0" w:right="0" w:firstLine="643"/>
        <w:rPr>
          <w:rFonts w:hint="default" w:ascii="Calibri" w:hAnsi="Calibri" w:cs="Calibri"/>
          <w:sz w:val="21"/>
          <w:szCs w:val="21"/>
        </w:rPr>
      </w:pPr>
    </w:p>
    <w:p>
      <w:pPr>
        <w:spacing w:before="0" w:beforeAutospacing="0" w:after="2" w:afterAutospacing="0"/>
        <w:jc w:val="center"/>
        <w:rPr>
          <w:sz w:val="21"/>
          <w:szCs w:val="21"/>
        </w:rPr>
      </w:pPr>
      <w:r>
        <w:rPr>
          <w:rFonts w:ascii="宋体" w:hAnsi="宋体" w:eastAsia="宋体" w:cs="宋体"/>
          <w:b/>
          <w:bCs/>
          <w:color w:val="000000"/>
          <w:sz w:val="36"/>
          <w:szCs w:val="36"/>
        </w:rPr>
        <w:t>第五部分</w:t>
      </w:r>
      <w:r>
        <w:rPr>
          <w:rFonts w:hint="eastAsia" w:ascii="宋体" w:hAnsi="宋体" w:eastAsia="宋体" w:cs="宋体"/>
          <w:b/>
          <w:bCs/>
          <w:color w:val="000000"/>
          <w:sz w:val="36"/>
          <w:szCs w:val="36"/>
        </w:rPr>
        <w:t xml:space="preserve"> </w:t>
      </w:r>
      <w:r>
        <w:rPr>
          <w:rFonts w:ascii="宋体" w:hAnsi="宋体" w:eastAsia="宋体" w:cs="宋体"/>
          <w:b/>
          <w:bCs/>
          <w:color w:val="000000"/>
          <w:sz w:val="36"/>
          <w:szCs w:val="36"/>
        </w:rPr>
        <w:t>附件</w:t>
      </w:r>
      <w:r>
        <w:rPr>
          <w:color w:val="000000"/>
          <w:sz w:val="21"/>
          <w:szCs w:val="21"/>
        </w:rPr>
        <w:t xml:space="preserve"> </w:t>
      </w:r>
    </w:p>
    <w:p>
      <w:pPr>
        <w:spacing w:before="0" w:beforeAutospacing="0" w:after="2" w:afterAutospacing="0"/>
        <w:jc w:val="center"/>
        <w:rPr>
          <w:sz w:val="21"/>
          <w:szCs w:val="21"/>
        </w:rPr>
      </w:pPr>
      <w:r>
        <w:rPr>
          <w:rFonts w:ascii="宋体" w:hAnsi="宋体" w:eastAsia="宋体" w:cs="宋体"/>
          <w:sz w:val="28"/>
          <w:szCs w:val="28"/>
          <w:shd w:val="clear" w:fill="FFFFFF"/>
        </w:rPr>
        <w:fldChar w:fldCharType="begin"/>
      </w:r>
      <w:r>
        <w:rPr>
          <w:rFonts w:ascii="宋体" w:hAnsi="宋体" w:eastAsia="宋体" w:cs="宋体"/>
          <w:sz w:val="28"/>
          <w:szCs w:val="28"/>
          <w:shd w:val="clear" w:fill="FFFFFF"/>
        </w:rPr>
        <w:instrText xml:space="preserve"> HYPERLINK "http://218.76.13.231:8082/home/downloadAttachment?attachGUID=0a0395953699468182cfac40790a67ae" \t "_blank" </w:instrText>
      </w:r>
      <w:r>
        <w:rPr>
          <w:rFonts w:ascii="宋体" w:hAnsi="宋体" w:eastAsia="宋体" w:cs="宋体"/>
          <w:sz w:val="28"/>
          <w:szCs w:val="28"/>
          <w:shd w:val="clear" w:fill="FFFFFF"/>
        </w:rPr>
        <w:fldChar w:fldCharType="separate"/>
      </w:r>
      <w:r>
        <w:rPr>
          <w:rStyle w:val="13"/>
          <w:rFonts w:ascii="宋体" w:hAnsi="宋体" w:eastAsia="宋体" w:cs="宋体"/>
          <w:sz w:val="28"/>
          <w:szCs w:val="28"/>
          <w:shd w:val="clear" w:fill="FFFFFF"/>
        </w:rPr>
        <w:t>2021年部门支出整体绩效评价(2).docx</w:t>
      </w:r>
      <w:r>
        <w:rPr>
          <w:rFonts w:ascii="宋体" w:hAnsi="宋体" w:eastAsia="宋体" w:cs="宋体"/>
          <w:sz w:val="28"/>
          <w:szCs w:val="28"/>
          <w:shd w:val="clear" w:fill="FFFFFF"/>
        </w:rPr>
        <w:fldChar w:fldCharType="end"/>
      </w:r>
    </w:p>
    <w:p>
      <w:pPr>
        <w:spacing w:before="0" w:beforeAutospacing="0" w:after="2" w:afterAutospacing="0"/>
        <w:jc w:val="center"/>
        <w:rPr>
          <w:sz w:val="21"/>
          <w:szCs w:val="21"/>
        </w:rPr>
      </w:pPr>
    </w:p>
    <w:p>
      <w:pPr>
        <w:spacing w:before="0" w:beforeAutospacing="0" w:after="2" w:afterAutospacing="0"/>
        <w:jc w:val="center"/>
        <w:rPr>
          <w:sz w:val="21"/>
          <w:szCs w:val="21"/>
        </w:rPr>
      </w:pPr>
    </w:p>
    <w:sectPr>
      <w:pgSz w:w="11906" w:h="16838" w:orient="landscape"/>
      <w:pgMar w:top="1440" w:right="1080" w:bottom="1440" w:left="1080" w:header="851" w:footer="992" w:gutter="0"/>
      <w:paperSrc/>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variable"/>
    <w:sig w:usb0="80000287" w:usb1="280F3C52" w:usb2="00000016" w:usb3="00000000" w:csb0="0004001F" w:csb1="00000000"/>
  </w:font>
  <w:font w:name="Verdana">
    <w:panose1 w:val="020B0604030504040204"/>
    <w:charset w:val="00"/>
    <w:family w:val="auto"/>
    <w:pitch w:val="variable"/>
    <w:sig w:usb0="A10006FF" w:usb1="4000205B" w:usb2="00000010"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Arial Black">
    <w:panose1 w:val="020B0A04020102020204"/>
    <w:charset w:val="00"/>
    <w:family w:val="auto"/>
    <w:pitch w:val="variable"/>
    <w:sig w:usb0="00000287" w:usb1="00000000" w:usb2="00000000" w:usb3="00000000" w:csb0="2000009F" w:csb1="DFD70000"/>
  </w:font>
  <w:font w:name="新宋体">
    <w:panose1 w:val="02010609030101010101"/>
    <w:charset w:val="86"/>
    <w:family w:val="auto"/>
    <w:pitch w:val="fixed"/>
    <w:sig w:usb0="00000003" w:usb1="288F0000" w:usb2="00000006" w:usb3="00000000" w:csb0="00040001" w:csb1="00000000"/>
  </w:font>
  <w:font w:name="@新宋体">
    <w:panose1 w:val="02010609030101010101"/>
    <w:charset w:val="86"/>
    <w:family w:val="auto"/>
    <w:pitch w:val="fixed"/>
    <w:sig w:usb0="00000003" w:usb1="288F0000" w:usb2="00000006" w:usb3="00000000" w:csb0="00040001" w:csb1="00000000"/>
  </w:font>
  <w:font w:name="Tahoma">
    <w:panose1 w:val="020B0604030504040204"/>
    <w:charset w:val="00"/>
    <w:family w:val="auto"/>
    <w:pitch w:val="variable"/>
    <w:sig w:usb0="E1002EFF" w:usb1="C000605B" w:usb2="00000029" w:usb3="00000000" w:csb0="200101FF" w:csb1="2028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doNotBreakWrappedTables/>
    <w:doNotWrapTextWithPunct/>
    <w:doNotUseEastAsianBreakRules/>
    <w:growAutofit/>
    <w:useFELayout/>
    <w:doNotUseIndentAsNumberingTabStop/>
    <w:useAltKinsokuLineBreakRules/>
    <w:compatSetting w:name="compatibilityMode" w:uri="http://schemas.microsoft.com/office/word" w:val="11"/>
  </w:compat>
  <w:rsids>
    <w:rsidRoot w:val="00000000"/>
    <w:rsid w:val="2A622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paragraph" w:customStyle="1" w:styleId="14">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20</Pages>
  <Words>8860</Words>
  <Characters>11352</Characters>
  <TotalTime>0</TotalTime>
  <ScaleCrop>false</ScaleCrop>
  <LinksUpToDate>false</LinksUpToDate>
  <CharactersWithSpaces>12437</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2023-01-03T07:06:53Z</dcterms:created>
  <dc:creator>leovo</dc:creator>
  <cp:lastModifiedBy>丁丁</cp:lastModifiedBy>
  <dcterms:modified xsi:type="dcterms:W3CDTF">2023-01-03T07:07:15Z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C746B54D19A34FC3BF18D2F2164121E3</vt:lpwstr>
  </property>
</Properties>
</file>