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华文中宋" w:hAnsi="华文中宋" w:eastAsia="华文中宋"/>
          <w:sz w:val="44"/>
          <w:szCs w:val="44"/>
        </w:rPr>
      </w:pPr>
    </w:p>
    <w:p>
      <w:pPr>
        <w:spacing w:line="560" w:lineRule="exact"/>
        <w:jc w:val="center"/>
        <w:rPr>
          <w:rFonts w:hint="eastAsia" w:ascii="华文中宋" w:hAnsi="华文中宋" w:eastAsia="华文中宋"/>
          <w:sz w:val="44"/>
          <w:szCs w:val="44"/>
          <w:lang w:eastAsia="zh-CN"/>
        </w:rPr>
      </w:pPr>
    </w:p>
    <w:p>
      <w:pPr>
        <w:spacing w:line="560" w:lineRule="exact"/>
        <w:jc w:val="center"/>
        <w:rPr>
          <w:rFonts w:hint="eastAsia" w:ascii="华文中宋" w:hAnsi="华文中宋" w:eastAsia="华文中宋"/>
          <w:sz w:val="44"/>
          <w:szCs w:val="44"/>
          <w:lang w:eastAsia="zh-CN"/>
        </w:rPr>
      </w:pPr>
    </w:p>
    <w:p>
      <w:pPr>
        <w:spacing w:line="560" w:lineRule="exact"/>
        <w:jc w:val="center"/>
        <w:rPr>
          <w:rFonts w:hint="eastAsia" w:ascii="华文中宋" w:hAnsi="华文中宋" w:eastAsia="华文中宋"/>
          <w:sz w:val="44"/>
          <w:szCs w:val="44"/>
          <w:lang w:eastAsia="zh-CN"/>
        </w:rPr>
      </w:pPr>
    </w:p>
    <w:p>
      <w:pPr>
        <w:spacing w:line="360" w:lineRule="auto"/>
        <w:jc w:val="both"/>
        <w:rPr>
          <w:rFonts w:hint="eastAsia" w:ascii="华文中宋" w:hAnsi="华文中宋" w:eastAsia="华文中宋"/>
          <w:sz w:val="52"/>
          <w:szCs w:val="52"/>
          <w:lang w:eastAsia="zh-CN"/>
        </w:rPr>
      </w:pPr>
      <w:bookmarkStart w:id="5" w:name="_GoBack"/>
      <w:bookmarkEnd w:id="5"/>
    </w:p>
    <w:p>
      <w:pPr>
        <w:spacing w:line="360" w:lineRule="auto"/>
        <w:jc w:val="center"/>
        <w:rPr>
          <w:rFonts w:hint="eastAsia" w:ascii="华文中宋" w:hAnsi="华文中宋" w:eastAsia="华文中宋"/>
          <w:sz w:val="52"/>
          <w:szCs w:val="52"/>
          <w:lang w:eastAsia="zh-CN"/>
        </w:rPr>
      </w:pPr>
      <w:r>
        <w:rPr>
          <w:rFonts w:hint="eastAsia" w:ascii="华文中宋" w:hAnsi="华文中宋" w:eastAsia="华文中宋"/>
          <w:sz w:val="52"/>
          <w:szCs w:val="52"/>
          <w:lang w:eastAsia="zh-CN"/>
        </w:rPr>
        <w:t>天心区招商引资白皮书</w:t>
      </w:r>
    </w:p>
    <w:p>
      <w:pPr>
        <w:spacing w:line="360" w:lineRule="auto"/>
        <w:jc w:val="center"/>
        <w:rPr>
          <w:rFonts w:hint="eastAsia" w:ascii="华文中宋" w:hAnsi="华文中宋" w:eastAsia="华文中宋"/>
          <w:sz w:val="52"/>
          <w:szCs w:val="52"/>
          <w:lang w:val="en-US" w:eastAsia="zh-CN"/>
        </w:rPr>
      </w:pPr>
      <w:r>
        <w:rPr>
          <w:rFonts w:hint="eastAsia" w:ascii="华文中宋" w:hAnsi="华文中宋" w:eastAsia="华文中宋"/>
          <w:sz w:val="52"/>
          <w:szCs w:val="52"/>
          <w:lang w:val="en-US" w:eastAsia="zh-CN"/>
        </w:rPr>
        <w:t>2019年</w:t>
      </w:r>
    </w:p>
    <w:p>
      <w:pPr>
        <w:spacing w:line="560" w:lineRule="exact"/>
        <w:jc w:val="center"/>
        <w:rPr>
          <w:rFonts w:hint="eastAsia" w:ascii="华文中宋" w:hAnsi="华文中宋" w:eastAsia="华文中宋"/>
          <w:sz w:val="44"/>
          <w:szCs w:val="44"/>
        </w:rPr>
      </w:pPr>
    </w:p>
    <w:p>
      <w:pPr>
        <w:spacing w:line="560" w:lineRule="exact"/>
        <w:jc w:val="center"/>
        <w:rPr>
          <w:rFonts w:hint="eastAsia" w:ascii="华文中宋" w:hAnsi="华文中宋" w:eastAsia="华文中宋"/>
          <w:sz w:val="44"/>
          <w:szCs w:val="44"/>
        </w:rPr>
      </w:pPr>
    </w:p>
    <w:p>
      <w:pPr>
        <w:spacing w:line="560" w:lineRule="exact"/>
        <w:jc w:val="center"/>
        <w:rPr>
          <w:rFonts w:hint="eastAsia" w:ascii="华文中宋" w:hAnsi="华文中宋" w:eastAsia="华文中宋"/>
          <w:sz w:val="44"/>
          <w:szCs w:val="44"/>
        </w:rPr>
      </w:pPr>
    </w:p>
    <w:p>
      <w:pPr>
        <w:spacing w:line="560" w:lineRule="exact"/>
        <w:jc w:val="center"/>
        <w:rPr>
          <w:rFonts w:hint="eastAsia" w:ascii="华文中宋" w:hAnsi="华文中宋" w:eastAsia="华文中宋"/>
          <w:sz w:val="44"/>
          <w:szCs w:val="44"/>
        </w:rPr>
      </w:pPr>
    </w:p>
    <w:p>
      <w:pPr>
        <w:spacing w:line="560" w:lineRule="exact"/>
        <w:jc w:val="center"/>
        <w:rPr>
          <w:rFonts w:hint="eastAsia" w:ascii="华文中宋" w:hAnsi="华文中宋" w:eastAsia="华文中宋"/>
          <w:sz w:val="44"/>
          <w:szCs w:val="44"/>
        </w:rPr>
      </w:pPr>
    </w:p>
    <w:p>
      <w:pPr>
        <w:spacing w:line="560" w:lineRule="exact"/>
        <w:jc w:val="center"/>
        <w:rPr>
          <w:rFonts w:hint="eastAsia" w:ascii="华文中宋" w:hAnsi="华文中宋" w:eastAsia="华文中宋"/>
          <w:sz w:val="44"/>
          <w:szCs w:val="44"/>
        </w:rPr>
      </w:pPr>
    </w:p>
    <w:p>
      <w:pPr>
        <w:spacing w:line="560" w:lineRule="exact"/>
        <w:jc w:val="center"/>
        <w:rPr>
          <w:rFonts w:hint="eastAsia" w:ascii="仿宋_GB2312" w:hAnsi="仿宋_GB2312" w:eastAsia="仿宋_GB2312" w:cs="仿宋_GB2312"/>
          <w:sz w:val="44"/>
          <w:szCs w:val="44"/>
        </w:rPr>
      </w:pPr>
    </w:p>
    <w:p>
      <w:pPr>
        <w:spacing w:line="560" w:lineRule="exact"/>
        <w:jc w:val="center"/>
        <w:rPr>
          <w:rFonts w:hint="eastAsia" w:ascii="仿宋_GB2312" w:hAnsi="仿宋_GB2312" w:eastAsia="仿宋_GB2312" w:cs="仿宋_GB2312"/>
          <w:sz w:val="44"/>
          <w:szCs w:val="44"/>
        </w:rPr>
      </w:pPr>
    </w:p>
    <w:p>
      <w:pPr>
        <w:spacing w:line="560" w:lineRule="exact"/>
        <w:jc w:val="center"/>
        <w:rPr>
          <w:rFonts w:hint="eastAsia" w:ascii="仿宋_GB2312" w:hAnsi="仿宋_GB2312" w:eastAsia="仿宋_GB2312" w:cs="仿宋_GB2312"/>
          <w:sz w:val="44"/>
          <w:szCs w:val="44"/>
        </w:rPr>
      </w:pPr>
    </w:p>
    <w:p>
      <w:pPr>
        <w:spacing w:line="560" w:lineRule="exact"/>
        <w:jc w:val="center"/>
        <w:rPr>
          <w:rFonts w:hint="eastAsia" w:ascii="仿宋_GB2312" w:hAnsi="仿宋_GB2312" w:eastAsia="仿宋_GB2312" w:cs="仿宋_GB2312"/>
          <w:sz w:val="44"/>
          <w:szCs w:val="44"/>
        </w:rPr>
      </w:pPr>
    </w:p>
    <w:p>
      <w:pPr>
        <w:spacing w:line="240" w:lineRule="auto"/>
        <w:ind w:firstLine="1920" w:firstLineChars="6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地址：长沙市天心区湘府中路</w:t>
      </w:r>
      <w:r>
        <w:rPr>
          <w:rFonts w:hint="eastAsia" w:ascii="仿宋_GB2312" w:hAnsi="仿宋_GB2312" w:eastAsia="仿宋_GB2312" w:cs="仿宋_GB2312"/>
          <w:sz w:val="32"/>
          <w:szCs w:val="32"/>
          <w:lang w:val="en-US" w:eastAsia="zh-CN"/>
        </w:rPr>
        <w:t>298号</w:t>
      </w:r>
    </w:p>
    <w:p>
      <w:pPr>
        <w:spacing w:line="240" w:lineRule="auto"/>
        <w:ind w:firstLine="1920" w:firstLineChars="6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电话：+86 0731 85899320</w:t>
      </w:r>
    </w:p>
    <w:p>
      <w:pPr>
        <w:spacing w:line="240" w:lineRule="auto"/>
        <w:ind w:firstLine="1920" w:firstLineChars="6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传真：+86 0731 85899320</w:t>
      </w:r>
    </w:p>
    <w:p>
      <w:pPr>
        <w:spacing w:line="240" w:lineRule="auto"/>
        <w:ind w:firstLine="1920" w:firstLineChars="6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邮编：410004</w:t>
      </w:r>
    </w:p>
    <w:p/>
    <w:p>
      <w:pPr>
        <w:spacing w:line="560" w:lineRule="exact"/>
        <w:jc w:val="both"/>
        <w:rPr>
          <w:rFonts w:hint="eastAsia" w:ascii="华文中宋" w:hAnsi="华文中宋" w:eastAsia="华文中宋"/>
          <w:sz w:val="44"/>
          <w:szCs w:val="44"/>
        </w:rPr>
      </w:pPr>
    </w:p>
    <w:p>
      <w:pPr>
        <w:spacing w:line="560" w:lineRule="exact"/>
        <w:jc w:val="center"/>
        <w:rPr>
          <w:rFonts w:ascii="华文中宋" w:hAnsi="华文中宋" w:eastAsia="华文中宋"/>
          <w:sz w:val="44"/>
          <w:szCs w:val="44"/>
        </w:rPr>
      </w:pPr>
      <w:r>
        <w:rPr>
          <w:rFonts w:hint="eastAsia" w:ascii="华文中宋" w:hAnsi="华文中宋" w:eastAsia="华文中宋"/>
          <w:sz w:val="44"/>
          <w:szCs w:val="44"/>
        </w:rPr>
        <w:t>天心区招商引资白皮书</w:t>
      </w:r>
    </w:p>
    <w:p>
      <w:pPr>
        <w:spacing w:line="560" w:lineRule="exact"/>
        <w:jc w:val="center"/>
        <w:rPr>
          <w:rFonts w:hint="eastAsia" w:ascii="华文中宋" w:hAnsi="华文中宋" w:eastAsia="华文中宋"/>
          <w:sz w:val="44"/>
          <w:szCs w:val="44"/>
        </w:rPr>
      </w:pPr>
      <w:r>
        <w:rPr>
          <w:rFonts w:hint="eastAsia" w:ascii="华文中宋" w:hAnsi="华文中宋" w:eastAsia="华文中宋"/>
          <w:sz w:val="44"/>
          <w:szCs w:val="44"/>
        </w:rPr>
        <w:t>（2019年）</w:t>
      </w:r>
    </w:p>
    <w:p>
      <w:pPr>
        <w:spacing w:line="560" w:lineRule="exact"/>
        <w:jc w:val="center"/>
        <w:rPr>
          <w:rFonts w:ascii="华文中宋" w:hAnsi="华文中宋" w:eastAsia="华文中宋"/>
          <w:sz w:val="44"/>
          <w:szCs w:val="44"/>
        </w:rPr>
      </w:pPr>
    </w:p>
    <w:p>
      <w:pPr>
        <w:spacing w:line="560" w:lineRule="exact"/>
        <w:ind w:firstLine="640" w:firstLineChars="200"/>
        <w:rPr>
          <w:rFonts w:ascii="Times New Roman" w:hAnsi="Times New Roman" w:eastAsia="仿宋_GB2312"/>
          <w:sz w:val="32"/>
          <w:szCs w:val="32"/>
        </w:rPr>
      </w:pPr>
      <w:r>
        <w:rPr>
          <w:rFonts w:hint="eastAsia" w:ascii="仿宋" w:hAnsi="仿宋" w:eastAsia="仿宋"/>
          <w:color w:val="000000"/>
          <w:sz w:val="32"/>
          <w:szCs w:val="32"/>
          <w:lang w:val="zh-CN"/>
        </w:rPr>
        <w:t>2019年，</w:t>
      </w:r>
      <w:r>
        <w:rPr>
          <w:rFonts w:hint="eastAsia" w:ascii="仿宋" w:hAnsi="仿宋" w:eastAsia="仿宋"/>
          <w:color w:val="000000"/>
          <w:sz w:val="32"/>
          <w:szCs w:val="32"/>
        </w:rPr>
        <w:t>根据市委、市政府关于</w:t>
      </w:r>
      <w:r>
        <w:rPr>
          <w:rFonts w:hint="eastAsia" w:ascii="仿宋_GB2312" w:eastAsia="仿宋_GB2312"/>
          <w:sz w:val="32"/>
          <w:szCs w:val="32"/>
        </w:rPr>
        <w:t>“营商环境优化年”“产业项目建设年”工作要求，全区上下紧紧</w:t>
      </w:r>
      <w:r>
        <w:rPr>
          <w:rFonts w:hint="eastAsia" w:ascii="仿宋_GB2312" w:hAnsi="仿宋_GB2312" w:eastAsia="仿宋_GB2312" w:cs="仿宋_GB2312"/>
          <w:sz w:val="32"/>
          <w:szCs w:val="32"/>
          <w:shd w:val="clear" w:color="auto" w:fill="FFFFFF"/>
        </w:rPr>
        <w:t>围绕“四新经济”、</w:t>
      </w:r>
      <w:r>
        <w:rPr>
          <w:rFonts w:hint="eastAsia" w:ascii="仿宋_GB2312" w:eastAsia="仿宋_GB2312"/>
          <w:sz w:val="32"/>
          <w:szCs w:val="32"/>
        </w:rPr>
        <w:t>“五大新经济形态”</w:t>
      </w:r>
      <w:r>
        <w:rPr>
          <w:rFonts w:hint="eastAsia" w:ascii="仿宋_GB2312" w:hAnsi="仿宋_GB2312" w:eastAsia="仿宋_GB2312" w:cs="仿宋_GB2312"/>
          <w:sz w:val="32"/>
          <w:szCs w:val="32"/>
          <w:shd w:val="clear" w:color="auto" w:fill="FFFFFF"/>
        </w:rPr>
        <w:t>“</w:t>
      </w:r>
      <w:r>
        <w:rPr>
          <w:rFonts w:hint="eastAsia" w:ascii="仿宋_GB2312" w:eastAsia="仿宋_GB2312"/>
          <w:sz w:val="32"/>
          <w:szCs w:val="32"/>
        </w:rPr>
        <w:t xml:space="preserve"> 六大技术 </w:t>
      </w:r>
      <w:r>
        <w:rPr>
          <w:rFonts w:hint="eastAsia" w:ascii="仿宋_GB2312" w:hAnsi="仿宋_GB2312" w:eastAsia="仿宋_GB2312" w:cs="仿宋_GB2312"/>
          <w:sz w:val="32"/>
          <w:szCs w:val="32"/>
          <w:shd w:val="clear" w:color="auto" w:fill="FFFFFF"/>
        </w:rPr>
        <w:t>”“</w:t>
      </w:r>
      <w:r>
        <w:rPr>
          <w:rFonts w:hint="eastAsia" w:ascii="仿宋_GB2312" w:eastAsia="仿宋_GB2312"/>
          <w:sz w:val="32"/>
          <w:szCs w:val="32"/>
        </w:rPr>
        <w:t>七大应用场景</w:t>
      </w:r>
      <w:r>
        <w:rPr>
          <w:rFonts w:hint="eastAsia" w:ascii="仿宋_GB2312" w:hAnsi="仿宋_GB2312" w:eastAsia="仿宋_GB2312" w:cs="仿宋_GB2312"/>
          <w:sz w:val="32"/>
          <w:szCs w:val="32"/>
          <w:shd w:val="clear" w:color="auto" w:fill="FFFFFF"/>
        </w:rPr>
        <w:t>”</w:t>
      </w:r>
      <w:r>
        <w:rPr>
          <w:rFonts w:hint="eastAsia" w:ascii="仿宋_GB2312" w:eastAsia="仿宋_GB2312"/>
          <w:sz w:val="32"/>
          <w:szCs w:val="32"/>
        </w:rPr>
        <w:t>“七大重点产业”，</w:t>
      </w:r>
      <w:r>
        <w:rPr>
          <w:rFonts w:ascii="Times New Roman" w:hAnsi="Times New Roman" w:eastAsia="仿宋_GB2312"/>
          <w:sz w:val="32"/>
          <w:szCs w:val="32"/>
        </w:rPr>
        <w:t>聚焦建设现代产业体系</w:t>
      </w:r>
      <w:r>
        <w:rPr>
          <w:rFonts w:hint="eastAsia" w:ascii="Times New Roman" w:hAnsi="Times New Roman" w:eastAsia="仿宋_GB2312"/>
          <w:sz w:val="32"/>
          <w:szCs w:val="32"/>
        </w:rPr>
        <w:t>，全面梳理招商引资重点资源，明确全年招商引资重点，提升招商引资精准度和实效性，全面建设融城核心、璀璨天心。根据全区实际，现制定天心区招商引资白皮书（2019年）。</w:t>
      </w:r>
    </w:p>
    <w:p>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58240" behindDoc="0" locked="0" layoutInCell="1" allowOverlap="1">
            <wp:simplePos x="0" y="0"/>
            <wp:positionH relativeFrom="column">
              <wp:posOffset>361950</wp:posOffset>
            </wp:positionH>
            <wp:positionV relativeFrom="paragraph">
              <wp:posOffset>333375</wp:posOffset>
            </wp:positionV>
            <wp:extent cx="3821430" cy="5010150"/>
            <wp:effectExtent l="19050" t="0" r="762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rcRect t="7444" r="-862"/>
                    <a:stretch>
                      <a:fillRect/>
                    </a:stretch>
                  </pic:blipFill>
                  <pic:spPr>
                    <a:xfrm>
                      <a:off x="0" y="0"/>
                      <a:ext cx="3821430" cy="5010150"/>
                    </a:xfrm>
                    <a:prstGeom prst="rect">
                      <a:avLst/>
                    </a:prstGeom>
                  </pic:spPr>
                </pic:pic>
              </a:graphicData>
            </a:graphic>
          </wp:anchor>
        </w:drawing>
      </w:r>
      <w:r>
        <w:rPr>
          <w:rFonts w:hint="eastAsia" w:ascii="黑体" w:hAnsi="黑体" w:eastAsia="黑体" w:cs="黑体"/>
          <w:sz w:val="32"/>
          <w:szCs w:val="32"/>
        </w:rPr>
        <w:t>一、重点发展方向</w:t>
      </w:r>
    </w:p>
    <w:p>
      <w:pPr>
        <w:spacing w:line="560" w:lineRule="exact"/>
        <w:ind w:firstLine="640" w:firstLineChars="200"/>
        <w:rPr>
          <w:rFonts w:hint="eastAsia"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rPr>
      </w:pPr>
    </w:p>
    <w:p>
      <w:pPr>
        <w:numPr>
          <w:ilvl w:val="0"/>
          <w:numId w:val="1"/>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全力打造底蕴深厚、产业繁荣的长沙外滩</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长沙外滩北起五一路， 南至南二环，定位为“金融核心”。长沙外滩自古以来商贾云集、店铺林立，依托现有商贸基础，正大力发展现代商贸服务业、文化旅游业和现代金融业。2018年，金融业税收占全区税收达31%。</w:t>
      </w:r>
    </w:p>
    <w:p>
      <w:pPr>
        <w:numPr>
          <w:ilvl w:val="0"/>
          <w:numId w:val="1"/>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努力建成功能完善、服务高端的省府片区</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省府片区北起南二环，南至绕城高速，定位为“双创高地”。省府片区聚集了省政府和省发改委、省人社厅等30多家行政机关，依托现有行政资源，正大力发展文化创意、商务行政、会议会展等高端现代服务业。2018年，现代服务业对区税收贡献接近71.9%。</w:t>
      </w:r>
    </w:p>
    <w:p>
      <w:pPr>
        <w:numPr>
          <w:ilvl w:val="0"/>
          <w:numId w:val="1"/>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加快建设生态优美、产城融合的南部片区</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南部片区是市委、市政府高起点打造的长沙市第六大核心功能组团，总面积294平方公里，其中天心区约97平方公里，是南部片区核心区域。未来3-5年，南部片区预计投入资金600亿元，铺排项目100余个，重点发展健康养老、旅游休闲、地理信息、军民融合等产业。</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二、重点发展产业</w:t>
      </w:r>
    </w:p>
    <w:p>
      <w:pPr>
        <w:pStyle w:val="6"/>
        <w:widowControl/>
        <w:spacing w:beforeAutospacing="0" w:afterAutospacing="0" w:line="560" w:lineRule="exact"/>
        <w:ind w:firstLine="640" w:firstLineChars="200"/>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（一）“五大新经济形态”</w:t>
      </w:r>
    </w:p>
    <w:p>
      <w:pPr>
        <w:pStyle w:val="6"/>
        <w:widowControl/>
        <w:spacing w:beforeAutospacing="0" w:afterAutospacing="0" w:line="560" w:lineRule="exact"/>
        <w:ind w:firstLine="640" w:firstLineChars="200"/>
        <w:rPr>
          <w:rFonts w:ascii="仿宋_GB2312" w:eastAsia="仿宋_GB2312"/>
          <w:sz w:val="32"/>
          <w:szCs w:val="32"/>
        </w:rPr>
      </w:pPr>
      <w:r>
        <w:rPr>
          <w:rFonts w:hint="eastAsia" w:ascii="仿宋_GB2312" w:eastAsia="仿宋_GB2312"/>
          <w:sz w:val="32"/>
          <w:szCs w:val="32"/>
        </w:rPr>
        <w:t>利用“互联网+”技术，拓展银行、零售、能源、交通、教育、出版、媒体或健康等领域培育发展数字经济；以人工智能、云计算、大数据、物联网、区块链、5G等新一代信息技术基础设施为支撑，支持发展智能经济；依托“绿心”发展规划，以市场为导向，发展健康、养老等绿色经济，实现经济与环境和谐统一；依托文化广告产业园平台，支持发展出版业、软件及计算机服务、文化旅游等创意经济；助推天心电子商务园发展，支持发展</w:t>
      </w:r>
      <w:r>
        <w:rPr>
          <w:rFonts w:ascii="仿宋_GB2312" w:eastAsia="仿宋_GB2312"/>
          <w:sz w:val="32"/>
          <w:szCs w:val="32"/>
        </w:rPr>
        <w:t>电子商务、移动支付</w:t>
      </w:r>
      <w:r>
        <w:rPr>
          <w:rFonts w:hint="eastAsia" w:ascii="仿宋_GB2312" w:eastAsia="仿宋_GB2312"/>
          <w:sz w:val="32"/>
          <w:szCs w:val="32"/>
        </w:rPr>
        <w:t>等形式的共享经济。</w:t>
      </w:r>
    </w:p>
    <w:p>
      <w:pPr>
        <w:pStyle w:val="6"/>
        <w:widowControl/>
        <w:spacing w:beforeAutospacing="0" w:afterAutospacing="0" w:line="560" w:lineRule="exact"/>
        <w:ind w:firstLine="640" w:firstLineChars="200"/>
        <w:rPr>
          <w:rFonts w:hint="eastAsia"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 xml:space="preserve">（二）“六大技术” </w:t>
      </w:r>
    </w:p>
    <w:p>
      <w:pPr>
        <w:pStyle w:val="6"/>
        <w:widowControl/>
        <w:spacing w:beforeAutospacing="0" w:afterAutospacing="0" w:line="560" w:lineRule="exact"/>
        <w:ind w:firstLine="640" w:firstLineChars="200"/>
        <w:rPr>
          <w:rFonts w:ascii="楷体_GB2312" w:hAnsi="楷体_GB2312" w:eastAsia="楷体_GB2312" w:cs="楷体_GB2312"/>
          <w:kern w:val="2"/>
          <w:sz w:val="32"/>
          <w:szCs w:val="32"/>
        </w:rPr>
      </w:pPr>
      <w:r>
        <w:rPr>
          <w:rFonts w:hint="eastAsia" w:ascii="仿宋_GB2312" w:eastAsia="仿宋_GB2312"/>
          <w:sz w:val="32"/>
          <w:szCs w:val="32"/>
        </w:rPr>
        <w:t>大力发展以</w:t>
      </w:r>
      <w:r>
        <w:rPr>
          <w:rFonts w:ascii="仿宋_GB2312" w:eastAsia="仿宋_GB2312"/>
          <w:sz w:val="32"/>
          <w:szCs w:val="32"/>
        </w:rPr>
        <w:t>自动驾驶、智慧生活、智慧医疗</w:t>
      </w:r>
      <w:r>
        <w:rPr>
          <w:rFonts w:hint="eastAsia" w:ascii="仿宋_GB2312" w:eastAsia="仿宋_GB2312"/>
          <w:sz w:val="32"/>
          <w:szCs w:val="32"/>
        </w:rPr>
        <w:t>等为内容的人工智能产业；以环保、可持续利用为特点的新能源汽车产业；以超导材料、医用材料、能源材料、生态材料、智能材料、能源材料为重点的功能材料产业；以开发通信通道、信号传输媒介为重点的信息终端产业；广泛运用于</w:t>
      </w:r>
      <w:r>
        <w:rPr>
          <w:rFonts w:ascii="仿宋_GB2312" w:eastAsia="仿宋_GB2312"/>
          <w:sz w:val="32"/>
          <w:szCs w:val="32"/>
        </w:rPr>
        <w:t>工业、农牧业、医药、环保等众多领域</w:t>
      </w:r>
      <w:r>
        <w:rPr>
          <w:rFonts w:hint="eastAsia" w:ascii="仿宋_GB2312" w:eastAsia="仿宋_GB2312"/>
          <w:sz w:val="32"/>
          <w:szCs w:val="32"/>
        </w:rPr>
        <w:t>的生物基因产业；以</w:t>
      </w:r>
      <w:r>
        <w:rPr>
          <w:rFonts w:ascii="仿宋_GB2312" w:eastAsia="仿宋_GB2312"/>
          <w:sz w:val="32"/>
          <w:szCs w:val="32"/>
        </w:rPr>
        <w:t>实现和完成视频业务主要技术</w:t>
      </w:r>
      <w:r>
        <w:rPr>
          <w:rFonts w:hint="eastAsia" w:ascii="仿宋_GB2312" w:eastAsia="仿宋_GB2312"/>
          <w:sz w:val="32"/>
          <w:szCs w:val="32"/>
        </w:rPr>
        <w:t>为重点的</w:t>
      </w:r>
      <w:r>
        <w:rPr>
          <w:rFonts w:ascii="仿宋_GB2312" w:eastAsia="仿宋_GB2312"/>
          <w:sz w:val="32"/>
          <w:szCs w:val="32"/>
        </w:rPr>
        <w:t>视频</w:t>
      </w:r>
      <w:r>
        <w:fldChar w:fldCharType="begin"/>
      </w:r>
      <w:r>
        <w:instrText xml:space="preserve"> HYPERLINK "https://baike.baidu.com/item/%E9%80%9A%E4%BF%A1%E6%8A%80%E6%9C%AF" \t "https://baike.baidu.com/item/%E8%A7%86%E9%A2%91%E6%8A%80%E6%9C%AF/_blank" </w:instrText>
      </w:r>
      <w:r>
        <w:fldChar w:fldCharType="separate"/>
      </w:r>
      <w:r>
        <w:rPr>
          <w:rFonts w:ascii="仿宋_GB2312" w:eastAsia="仿宋_GB2312"/>
          <w:sz w:val="32"/>
          <w:szCs w:val="32"/>
        </w:rPr>
        <w:t>通信</w:t>
      </w:r>
      <w:r>
        <w:rPr>
          <w:rFonts w:ascii="仿宋_GB2312" w:eastAsia="仿宋_GB2312"/>
          <w:sz w:val="32"/>
          <w:szCs w:val="32"/>
        </w:rPr>
        <w:fldChar w:fldCharType="end"/>
      </w:r>
      <w:r>
        <w:rPr>
          <w:rFonts w:hint="eastAsia" w:ascii="仿宋_GB2312" w:eastAsia="仿宋_GB2312"/>
          <w:sz w:val="32"/>
          <w:szCs w:val="32"/>
        </w:rPr>
        <w:t>产业。</w:t>
      </w:r>
    </w:p>
    <w:p>
      <w:pPr>
        <w:pStyle w:val="6"/>
        <w:widowControl/>
        <w:spacing w:beforeAutospacing="0" w:afterAutospacing="0" w:line="560" w:lineRule="exact"/>
        <w:ind w:firstLine="640" w:firstLineChars="200"/>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 xml:space="preserve">（三）“七大应用场景”  </w:t>
      </w:r>
    </w:p>
    <w:p>
      <w:pPr>
        <w:spacing w:line="560" w:lineRule="exact"/>
        <w:ind w:firstLine="640" w:firstLineChars="200"/>
        <w:rPr>
          <w:rFonts w:ascii="仿宋_GB2312" w:eastAsia="仿宋_GB2312"/>
          <w:kern w:val="0"/>
          <w:sz w:val="32"/>
          <w:szCs w:val="32"/>
        </w:rPr>
      </w:pPr>
      <w:r>
        <w:rPr>
          <w:rFonts w:hint="eastAsia" w:ascii="仿宋_GB2312" w:eastAsia="仿宋_GB2312"/>
          <w:kern w:val="0"/>
          <w:sz w:val="32"/>
          <w:szCs w:val="32"/>
        </w:rPr>
        <w:t>支持发展智能网联汽车，鼓励地理信息、大数据等非传统汽车产业的企业与当下的汽车制造商开展合作，促进创新，增强竞争；支持发展工业互联网，</w:t>
      </w:r>
      <w:r>
        <w:rPr>
          <w:rFonts w:ascii="仿宋_GB2312" w:eastAsia="仿宋_GB2312"/>
          <w:kern w:val="0"/>
          <w:sz w:val="32"/>
          <w:szCs w:val="32"/>
        </w:rPr>
        <w:t>结合软件和大数据分析，</w:t>
      </w:r>
      <w:r>
        <w:rPr>
          <w:rFonts w:hint="eastAsia" w:ascii="仿宋_GB2312" w:eastAsia="仿宋_GB2312"/>
          <w:kern w:val="0"/>
          <w:sz w:val="32"/>
          <w:szCs w:val="32"/>
        </w:rPr>
        <w:t>实现人、数据和机器的连接，构建开放、全球化的网络；支持发展涵盖公共服务、</w:t>
      </w:r>
      <w:r>
        <w:fldChar w:fldCharType="begin"/>
      </w:r>
      <w:r>
        <w:instrText xml:space="preserve"> HYPERLINK "https://baike.baidu.com/item/%E6%99%BA%E6%85%A7%E5%9F%8E%E5%B8%82%E7%BB%BC%E5%90%88%E4%BD%93" \t "https://baike.baidu.com/item/%E6%99%BA%E6%85%A7%E5%9F%8E%E5%B8%82/_blank" </w:instrText>
      </w:r>
      <w:r>
        <w:fldChar w:fldCharType="separate"/>
      </w:r>
      <w:r>
        <w:rPr>
          <w:rFonts w:ascii="仿宋_GB2312" w:eastAsia="仿宋_GB2312"/>
          <w:kern w:val="0"/>
          <w:sz w:val="32"/>
          <w:szCs w:val="32"/>
        </w:rPr>
        <w:t>城市综合体</w:t>
      </w:r>
      <w:r>
        <w:rPr>
          <w:rFonts w:ascii="仿宋_GB2312" w:eastAsia="仿宋_GB2312"/>
          <w:kern w:val="0"/>
          <w:sz w:val="32"/>
          <w:szCs w:val="32"/>
        </w:rPr>
        <w:fldChar w:fldCharType="end"/>
      </w:r>
      <w:r>
        <w:rPr>
          <w:rFonts w:hint="eastAsia" w:ascii="仿宋_GB2312" w:eastAsia="仿宋_GB2312"/>
          <w:kern w:val="0"/>
          <w:sz w:val="32"/>
          <w:szCs w:val="32"/>
        </w:rPr>
        <w:t>、</w:t>
      </w:r>
      <w:r>
        <w:rPr>
          <w:rFonts w:ascii="仿宋_GB2312" w:eastAsia="仿宋_GB2312"/>
          <w:kern w:val="0"/>
          <w:sz w:val="32"/>
          <w:szCs w:val="32"/>
        </w:rPr>
        <w:t>政务平台</w:t>
      </w:r>
      <w:r>
        <w:rPr>
          <w:rFonts w:hint="eastAsia" w:ascii="仿宋_GB2312" w:eastAsia="仿宋_GB2312"/>
          <w:kern w:val="0"/>
          <w:sz w:val="32"/>
          <w:szCs w:val="32"/>
        </w:rPr>
        <w:t>、</w:t>
      </w:r>
      <w:r>
        <w:fldChar w:fldCharType="begin"/>
      </w:r>
      <w:r>
        <w:instrText xml:space="preserve"> HYPERLINK "https://baike.baidu.com/item/%E5%AE%89%E5%B1%85" \t "https://baike.baidu.com/item/%E6%99%BA%E6%85%A7%E5%9F%8E%E5%B8%82/_blank" </w:instrText>
      </w:r>
      <w:r>
        <w:fldChar w:fldCharType="separate"/>
      </w:r>
      <w:r>
        <w:rPr>
          <w:rFonts w:ascii="仿宋_GB2312" w:eastAsia="仿宋_GB2312"/>
          <w:kern w:val="0"/>
          <w:sz w:val="32"/>
          <w:szCs w:val="32"/>
        </w:rPr>
        <w:t>安居</w:t>
      </w:r>
      <w:r>
        <w:rPr>
          <w:rFonts w:ascii="仿宋_GB2312" w:eastAsia="仿宋_GB2312"/>
          <w:kern w:val="0"/>
          <w:sz w:val="32"/>
          <w:szCs w:val="32"/>
        </w:rPr>
        <w:fldChar w:fldCharType="end"/>
      </w:r>
      <w:r>
        <w:rPr>
          <w:rFonts w:ascii="仿宋_GB2312" w:eastAsia="仿宋_GB2312"/>
          <w:kern w:val="0"/>
          <w:sz w:val="32"/>
          <w:szCs w:val="32"/>
        </w:rPr>
        <w:t>服务</w:t>
      </w:r>
      <w:r>
        <w:rPr>
          <w:rFonts w:hint="eastAsia" w:ascii="仿宋_GB2312" w:eastAsia="仿宋_GB2312"/>
          <w:kern w:val="0"/>
          <w:sz w:val="32"/>
          <w:szCs w:val="32"/>
        </w:rPr>
        <w:t>、</w:t>
      </w:r>
      <w:r>
        <w:rPr>
          <w:rFonts w:ascii="仿宋_GB2312" w:eastAsia="仿宋_GB2312"/>
          <w:kern w:val="0"/>
          <w:sz w:val="32"/>
          <w:szCs w:val="32"/>
        </w:rPr>
        <w:t>教育文化</w:t>
      </w:r>
      <w:r>
        <w:rPr>
          <w:rFonts w:hint="eastAsia" w:ascii="仿宋_GB2312" w:eastAsia="仿宋_GB2312"/>
          <w:kern w:val="0"/>
          <w:sz w:val="32"/>
          <w:szCs w:val="32"/>
        </w:rPr>
        <w:t>、</w:t>
      </w:r>
      <w:r>
        <w:rPr>
          <w:rFonts w:ascii="仿宋_GB2312" w:eastAsia="仿宋_GB2312"/>
          <w:kern w:val="0"/>
          <w:sz w:val="32"/>
          <w:szCs w:val="32"/>
        </w:rPr>
        <w:t>健康</w:t>
      </w:r>
      <w:r>
        <w:rPr>
          <w:rFonts w:hint="eastAsia" w:ascii="仿宋_GB2312" w:eastAsia="仿宋_GB2312"/>
          <w:kern w:val="0"/>
          <w:sz w:val="32"/>
          <w:szCs w:val="32"/>
        </w:rPr>
        <w:t>、</w:t>
      </w:r>
      <w:r>
        <w:rPr>
          <w:rFonts w:ascii="仿宋_GB2312" w:eastAsia="仿宋_GB2312"/>
          <w:kern w:val="0"/>
          <w:sz w:val="32"/>
          <w:szCs w:val="32"/>
        </w:rPr>
        <w:t>交通</w:t>
      </w:r>
      <w:r>
        <w:rPr>
          <w:rFonts w:hint="eastAsia" w:ascii="仿宋_GB2312" w:eastAsia="仿宋_GB2312"/>
          <w:kern w:val="0"/>
          <w:sz w:val="32"/>
          <w:szCs w:val="32"/>
        </w:rPr>
        <w:t>在内的智慧城市建设；支持发展</w:t>
      </w:r>
      <w:r>
        <w:rPr>
          <w:rFonts w:ascii="仿宋_GB2312" w:eastAsia="仿宋_GB2312"/>
          <w:kern w:val="0"/>
          <w:sz w:val="32"/>
          <w:szCs w:val="32"/>
        </w:rPr>
        <w:t>利用物联网技术，实现医患、医疗机构、医疗设备</w:t>
      </w:r>
      <w:r>
        <w:rPr>
          <w:rFonts w:hint="eastAsia" w:ascii="仿宋_GB2312" w:eastAsia="仿宋_GB2312"/>
          <w:kern w:val="0"/>
          <w:sz w:val="32"/>
          <w:szCs w:val="32"/>
        </w:rPr>
        <w:t>之间</w:t>
      </w:r>
      <w:r>
        <w:rPr>
          <w:rFonts w:ascii="仿宋_GB2312" w:eastAsia="仿宋_GB2312"/>
          <w:kern w:val="0"/>
          <w:sz w:val="32"/>
          <w:szCs w:val="32"/>
        </w:rPr>
        <w:t>信息化</w:t>
      </w:r>
      <w:r>
        <w:rPr>
          <w:rFonts w:hint="eastAsia" w:ascii="仿宋_GB2312" w:eastAsia="仿宋_GB2312"/>
          <w:kern w:val="0"/>
          <w:sz w:val="32"/>
          <w:szCs w:val="32"/>
        </w:rPr>
        <w:t>互动的智慧医疗；支持发展以</w:t>
      </w:r>
      <w:r>
        <w:rPr>
          <w:rFonts w:ascii="仿宋_GB2312" w:eastAsia="仿宋_GB2312"/>
          <w:kern w:val="0"/>
          <w:sz w:val="32"/>
          <w:szCs w:val="32"/>
        </w:rPr>
        <w:t>短信支付、扫码支付、指纹支付、声波支付等</w:t>
      </w:r>
      <w:r>
        <w:rPr>
          <w:rFonts w:hint="eastAsia" w:ascii="仿宋_GB2312" w:eastAsia="仿宋_GB2312"/>
          <w:kern w:val="0"/>
          <w:sz w:val="32"/>
          <w:szCs w:val="32"/>
        </w:rPr>
        <w:t>为应用的</w:t>
      </w:r>
      <w:r>
        <w:rPr>
          <w:rFonts w:ascii="仿宋_GB2312" w:eastAsia="仿宋_GB2312"/>
          <w:kern w:val="0"/>
          <w:sz w:val="32"/>
          <w:szCs w:val="32"/>
        </w:rPr>
        <w:t>移动支付</w:t>
      </w:r>
      <w:bookmarkStart w:id="0" w:name="短信支付"/>
      <w:bookmarkEnd w:id="0"/>
      <w:bookmarkStart w:id="1" w:name="6_1"/>
      <w:bookmarkEnd w:id="1"/>
      <w:bookmarkStart w:id="2" w:name="sub30156_6_1"/>
      <w:bookmarkEnd w:id="2"/>
      <w:bookmarkStart w:id="3" w:name="6-1"/>
      <w:bookmarkEnd w:id="3"/>
      <w:r>
        <w:rPr>
          <w:rFonts w:hint="eastAsia" w:ascii="仿宋_GB2312" w:eastAsia="仿宋_GB2312"/>
          <w:kern w:val="0"/>
          <w:sz w:val="32"/>
          <w:szCs w:val="32"/>
        </w:rPr>
        <w:t>；支持发展以</w:t>
      </w:r>
      <w:r>
        <w:rPr>
          <w:rFonts w:ascii="仿宋_GB2312" w:eastAsia="仿宋_GB2312"/>
          <w:kern w:val="0"/>
          <w:sz w:val="32"/>
          <w:szCs w:val="32"/>
        </w:rPr>
        <w:t>智慧出行</w:t>
      </w:r>
      <w:r>
        <w:rPr>
          <w:rFonts w:hint="eastAsia" w:ascii="仿宋_GB2312" w:eastAsia="仿宋_GB2312"/>
          <w:kern w:val="0"/>
          <w:sz w:val="32"/>
          <w:szCs w:val="32"/>
        </w:rPr>
        <w:t>、</w:t>
      </w:r>
      <w:r>
        <w:rPr>
          <w:rFonts w:ascii="仿宋_GB2312" w:eastAsia="仿宋_GB2312"/>
          <w:kern w:val="0"/>
          <w:sz w:val="32"/>
          <w:szCs w:val="32"/>
        </w:rPr>
        <w:t>房屋分享</w:t>
      </w:r>
      <w:r>
        <w:rPr>
          <w:rFonts w:hint="eastAsia" w:ascii="仿宋_GB2312" w:eastAsia="仿宋_GB2312"/>
          <w:kern w:val="0"/>
          <w:sz w:val="32"/>
          <w:szCs w:val="32"/>
        </w:rPr>
        <w:t>、</w:t>
      </w:r>
      <w:r>
        <w:rPr>
          <w:rFonts w:ascii="仿宋_GB2312" w:eastAsia="仿宋_GB2312"/>
          <w:kern w:val="0"/>
          <w:sz w:val="32"/>
          <w:szCs w:val="32"/>
        </w:rPr>
        <w:t>知识分享</w:t>
      </w:r>
      <w:r>
        <w:rPr>
          <w:rFonts w:hint="eastAsia" w:ascii="仿宋_GB2312" w:eastAsia="仿宋_GB2312"/>
          <w:kern w:val="0"/>
          <w:sz w:val="32"/>
          <w:szCs w:val="32"/>
        </w:rPr>
        <w:t>、</w:t>
      </w:r>
      <w:r>
        <w:rPr>
          <w:rFonts w:ascii="仿宋_GB2312" w:eastAsia="仿宋_GB2312"/>
          <w:kern w:val="0"/>
          <w:sz w:val="32"/>
          <w:szCs w:val="32"/>
        </w:rPr>
        <w:t>共享金融</w:t>
      </w:r>
      <w:r>
        <w:rPr>
          <w:rFonts w:hint="eastAsia" w:ascii="仿宋_GB2312" w:eastAsia="仿宋_GB2312"/>
          <w:kern w:val="0"/>
          <w:sz w:val="32"/>
          <w:szCs w:val="32"/>
        </w:rPr>
        <w:t>、</w:t>
      </w:r>
      <w:r>
        <w:rPr>
          <w:rFonts w:ascii="仿宋_GB2312" w:eastAsia="仿宋_GB2312"/>
          <w:kern w:val="0"/>
          <w:sz w:val="32"/>
          <w:szCs w:val="32"/>
        </w:rPr>
        <w:t>众创空间</w:t>
      </w:r>
      <w:r>
        <w:rPr>
          <w:rFonts w:hint="eastAsia" w:ascii="仿宋_GB2312" w:eastAsia="仿宋_GB2312"/>
          <w:kern w:val="0"/>
          <w:sz w:val="32"/>
          <w:szCs w:val="32"/>
        </w:rPr>
        <w:t>为内容的分享经济；支持发展以</w:t>
      </w:r>
      <w:r>
        <w:rPr>
          <w:rFonts w:ascii="仿宋_GB2312" w:eastAsia="仿宋_GB2312"/>
          <w:kern w:val="0"/>
          <w:sz w:val="32"/>
          <w:szCs w:val="32"/>
        </w:rPr>
        <w:t>支付汇兑</w:t>
      </w:r>
      <w:r>
        <w:rPr>
          <w:rFonts w:hint="eastAsia" w:ascii="仿宋_GB2312" w:eastAsia="仿宋_GB2312"/>
          <w:kern w:val="0"/>
          <w:sz w:val="32"/>
          <w:szCs w:val="32"/>
        </w:rPr>
        <w:t>、</w:t>
      </w:r>
      <w:r>
        <w:rPr>
          <w:rFonts w:ascii="仿宋_GB2312" w:eastAsia="仿宋_GB2312"/>
          <w:kern w:val="0"/>
          <w:sz w:val="32"/>
          <w:szCs w:val="32"/>
        </w:rPr>
        <w:t>国际汇款</w:t>
      </w:r>
      <w:r>
        <w:rPr>
          <w:rFonts w:hint="eastAsia" w:ascii="仿宋_GB2312" w:eastAsia="仿宋_GB2312"/>
          <w:kern w:val="0"/>
          <w:sz w:val="32"/>
          <w:szCs w:val="32"/>
        </w:rPr>
        <w:t>、</w:t>
      </w:r>
      <w:r>
        <w:rPr>
          <w:rFonts w:ascii="仿宋_GB2312" w:eastAsia="仿宋_GB2312"/>
          <w:kern w:val="0"/>
          <w:sz w:val="32"/>
          <w:szCs w:val="32"/>
        </w:rPr>
        <w:t>登记结算</w:t>
      </w:r>
      <w:r>
        <w:rPr>
          <w:rFonts w:hint="eastAsia" w:ascii="仿宋_GB2312" w:eastAsia="仿宋_GB2312"/>
          <w:kern w:val="0"/>
          <w:sz w:val="32"/>
          <w:szCs w:val="32"/>
        </w:rPr>
        <w:t>为重点的支付经济。</w:t>
      </w:r>
    </w:p>
    <w:p>
      <w:pPr>
        <w:spacing w:line="560" w:lineRule="exact"/>
        <w:ind w:left="640"/>
        <w:rPr>
          <w:rFonts w:ascii="楷体_GB2312" w:hAnsi="楷体_GB2312" w:eastAsia="楷体_GB2312" w:cs="楷体_GB2312"/>
          <w:sz w:val="32"/>
          <w:szCs w:val="32"/>
        </w:rPr>
      </w:pPr>
      <w:r>
        <w:rPr>
          <w:rFonts w:hint="eastAsia" w:ascii="楷体_GB2312" w:hAnsi="楷体_GB2312" w:eastAsia="楷体_GB2312" w:cs="楷体_GB2312"/>
          <w:sz w:val="32"/>
          <w:szCs w:val="32"/>
        </w:rPr>
        <w:t>（四）“七大重点产业”</w:t>
      </w:r>
    </w:p>
    <w:p>
      <w:pPr>
        <w:spacing w:line="560" w:lineRule="exact"/>
        <w:ind w:firstLine="640" w:firstLineChars="200"/>
        <w:rPr>
          <w:rFonts w:ascii="楷体" w:hAnsi="楷体" w:eastAsia="楷体"/>
          <w:color w:val="000000"/>
          <w:sz w:val="32"/>
          <w:szCs w:val="32"/>
          <w:lang w:val="zh-CN"/>
        </w:rPr>
      </w:pPr>
      <w:r>
        <w:rPr>
          <w:rFonts w:hint="eastAsia" w:ascii="楷体" w:hAnsi="楷体" w:eastAsia="楷体"/>
          <w:color w:val="000000"/>
          <w:sz w:val="32"/>
          <w:szCs w:val="32"/>
        </w:rPr>
        <w:t>1、</w:t>
      </w:r>
      <w:r>
        <w:rPr>
          <w:rFonts w:hint="eastAsia" w:ascii="楷体" w:hAnsi="楷体" w:eastAsia="楷体"/>
          <w:color w:val="000000"/>
          <w:sz w:val="32"/>
          <w:szCs w:val="32"/>
          <w:lang w:val="zh-CN"/>
        </w:rPr>
        <w:t>大数据（地理信息）产业</w:t>
      </w:r>
    </w:p>
    <w:p>
      <w:pPr>
        <w:numPr>
          <w:ilvl w:val="0"/>
          <w:numId w:val="2"/>
        </w:numPr>
        <w:ind w:left="0" w:leftChars="0" w:firstLine="0" w:firstLineChars="0"/>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大数据（地理信息）产业是天心区特色亮点产业之一，坐落于原暮云经开区的湖南地理信息产业园于2015年8月由省人民政府批准成立，规划面积35平方公里，</w:t>
      </w:r>
      <w:r>
        <w:rPr>
          <w:rFonts w:hint="eastAsia" w:ascii="仿宋_GB2312" w:hAnsi="宋体" w:eastAsia="仿宋_GB2312" w:cs="仿宋_GB2312"/>
          <w:color w:val="000000"/>
          <w:kern w:val="0"/>
          <w:sz w:val="32"/>
          <w:szCs w:val="32"/>
          <w:lang w:val="en-US" w:eastAsia="zh-CN"/>
        </w:rPr>
        <w:t>依托五大企业发展平台、聚焦六大重点发展领域，</w:t>
      </w:r>
      <w:r>
        <w:rPr>
          <w:rFonts w:hint="eastAsia" w:ascii="仿宋_GB2312" w:hAnsi="宋体" w:eastAsia="仿宋_GB2312" w:cs="仿宋_GB2312"/>
          <w:color w:val="000000"/>
          <w:kern w:val="0"/>
          <w:sz w:val="32"/>
          <w:szCs w:val="32"/>
          <w:lang w:val="zh-CN"/>
        </w:rPr>
        <w:t>为地理信息上游数据采集、中游数据加工和下游开发应用提供了完整的产业链平台。</w:t>
      </w:r>
      <w:r>
        <w:rPr>
          <w:rFonts w:hint="eastAsia" w:ascii="仿宋_GB2312" w:hAnsi="宋体" w:eastAsia="仿宋_GB2312" w:cs="仿宋_GB2312"/>
          <w:color w:val="000000"/>
          <w:kern w:val="0"/>
          <w:sz w:val="32"/>
          <w:szCs w:val="32"/>
        </w:rPr>
        <w:t>目前已有中科遥感、中海达、中地数码、九次方大数据、南方数码、正元地理信息、天湘和信息等</w:t>
      </w:r>
      <w:r>
        <w:rPr>
          <w:rFonts w:hint="eastAsia" w:ascii="仿宋_GB2312" w:hAnsi="宋体" w:eastAsia="仿宋_GB2312" w:cs="仿宋_GB2312"/>
          <w:color w:val="000000"/>
          <w:kern w:val="0"/>
          <w:sz w:val="32"/>
          <w:szCs w:val="32"/>
          <w:lang w:val="en-US" w:eastAsia="zh-CN"/>
        </w:rPr>
        <w:t>108</w:t>
      </w:r>
      <w:r>
        <w:rPr>
          <w:rFonts w:hint="eastAsia" w:ascii="仿宋_GB2312" w:hAnsi="宋体" w:eastAsia="仿宋_GB2312" w:cs="仿宋_GB2312"/>
          <w:color w:val="000000"/>
          <w:kern w:val="0"/>
          <w:sz w:val="32"/>
          <w:szCs w:val="32"/>
        </w:rPr>
        <w:t>家知名地理信息企事业单位入驻。2018年，园区大数据（含地理信息）产业链价值</w:t>
      </w:r>
      <w:r>
        <w:rPr>
          <w:rFonts w:hint="eastAsia" w:ascii="仿宋_GB2312" w:hAnsi="宋体" w:eastAsia="仿宋_GB2312" w:cs="仿宋_GB2312"/>
          <w:color w:val="000000"/>
          <w:kern w:val="0"/>
          <w:sz w:val="32"/>
          <w:szCs w:val="32"/>
          <w:lang w:val="en-US" w:eastAsia="zh-CN"/>
        </w:rPr>
        <w:t>50</w:t>
      </w:r>
      <w:r>
        <w:rPr>
          <w:rFonts w:hint="eastAsia" w:ascii="仿宋_GB2312" w:hAnsi="宋体" w:eastAsia="仿宋_GB2312" w:cs="仿宋_GB2312"/>
          <w:color w:val="000000"/>
          <w:kern w:val="0"/>
          <w:sz w:val="32"/>
          <w:szCs w:val="32"/>
        </w:rPr>
        <w:t>亿元。</w:t>
      </w:r>
    </w:p>
    <w:p>
      <w:pPr>
        <w:spacing w:line="560" w:lineRule="exact"/>
        <w:ind w:firstLine="630" w:firstLineChars="196"/>
        <w:rPr>
          <w:rFonts w:ascii="仿宋_GB2312" w:hAnsi="宋体" w:eastAsia="仿宋_GB2312" w:cs="仿宋_GB2312"/>
          <w:kern w:val="0"/>
          <w:sz w:val="32"/>
          <w:szCs w:val="32"/>
        </w:rPr>
      </w:pPr>
      <w:r>
        <w:rPr>
          <w:rFonts w:hint="eastAsia" w:ascii="仿宋_GB2312" w:hAnsi="宋体" w:eastAsia="仿宋_GB2312" w:cs="仿宋_GB2312"/>
          <w:b/>
          <w:kern w:val="0"/>
          <w:sz w:val="32"/>
          <w:szCs w:val="32"/>
        </w:rPr>
        <w:t>招商重点：</w:t>
      </w:r>
      <w:r>
        <w:rPr>
          <w:rFonts w:hint="eastAsia" w:ascii="仿宋_GB2312" w:hAnsi="宋体" w:eastAsia="仿宋_GB2312" w:cs="仿宋_GB2312"/>
          <w:kern w:val="0"/>
          <w:sz w:val="32"/>
          <w:szCs w:val="32"/>
        </w:rPr>
        <w:t>地理信息（大数据）产业链上游（数据采集为主的资源型企业）、中游（数据处理分析为主的技术型企业）、下游（数据服务为主的应用型企业）企业。</w:t>
      </w:r>
    </w:p>
    <w:p>
      <w:pPr>
        <w:spacing w:line="560" w:lineRule="exact"/>
        <w:ind w:firstLine="640" w:firstLineChars="200"/>
        <w:rPr>
          <w:rFonts w:ascii="楷体" w:hAnsi="楷体" w:eastAsia="楷体"/>
          <w:color w:val="000000"/>
          <w:sz w:val="32"/>
          <w:szCs w:val="32"/>
          <w:lang w:val="zh-CN"/>
        </w:rPr>
      </w:pPr>
      <w:r>
        <w:rPr>
          <w:rFonts w:hint="eastAsia" w:ascii="楷体" w:hAnsi="楷体" w:eastAsia="楷体"/>
          <w:color w:val="000000"/>
          <w:sz w:val="32"/>
          <w:szCs w:val="32"/>
        </w:rPr>
        <w:t>2、</w:t>
      </w:r>
      <w:r>
        <w:rPr>
          <w:rFonts w:hint="eastAsia" w:ascii="楷体" w:hAnsi="楷体" w:eastAsia="楷体"/>
          <w:color w:val="000000"/>
          <w:sz w:val="32"/>
          <w:szCs w:val="32"/>
          <w:lang w:val="zh-CN"/>
        </w:rPr>
        <w:t>人力资源产业</w:t>
      </w:r>
    </w:p>
    <w:p>
      <w:pPr>
        <w:spacing w:line="560" w:lineRule="exact"/>
        <w:ind w:firstLine="640" w:firstLineChars="200"/>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人力资源产业是天心区现代产业体系十分重要且潜力巨大的组成部分，湖南长沙人力资源服务产业园于2018年12月正式挂牌，园区按照“一核四区”的总体规划布局，正着力打造国内知名的人力资源机构和企业集聚区。截止到2018年底，园区已入驻前程无忧、智联招聘、肯耐珂萨等50多家人力资源企业，年产值20多亿元，有望获得人社部国家级人力资源示范园区的批复。未来，将加快长沙国际人才城、创业公寓建设，力争2025年长沙人力资源服务产业园将吸引企业集聚200家，引导产业规模达到300亿元，挺</w:t>
      </w:r>
      <w:r>
        <w:rPr>
          <w:rFonts w:ascii="仿宋_GB2312" w:hAnsi="宋体" w:eastAsia="仿宋_GB2312" w:cs="仿宋_GB2312"/>
          <w:color w:val="000000"/>
          <w:kern w:val="0"/>
          <w:sz w:val="32"/>
          <w:szCs w:val="32"/>
        </w:rPr>
        <w:t>进国</w:t>
      </w:r>
      <w:r>
        <w:rPr>
          <w:rFonts w:hint="eastAsia" w:ascii="仿宋_GB2312" w:hAnsi="宋体" w:eastAsia="仿宋_GB2312" w:cs="仿宋_GB2312"/>
          <w:color w:val="000000"/>
          <w:kern w:val="0"/>
          <w:sz w:val="32"/>
          <w:szCs w:val="32"/>
        </w:rPr>
        <w:t>家</w:t>
      </w:r>
      <w:r>
        <w:rPr>
          <w:rFonts w:ascii="仿宋_GB2312" w:hAnsi="宋体" w:eastAsia="仿宋_GB2312" w:cs="仿宋_GB2312"/>
          <w:color w:val="000000"/>
          <w:kern w:val="0"/>
          <w:sz w:val="32"/>
          <w:szCs w:val="32"/>
        </w:rPr>
        <w:t>级序列</w:t>
      </w:r>
      <w:r>
        <w:rPr>
          <w:rFonts w:hint="eastAsia" w:ascii="仿宋_GB2312" w:hAnsi="宋体" w:eastAsia="仿宋_GB2312" w:cs="仿宋_GB2312"/>
          <w:color w:val="000000"/>
          <w:kern w:val="0"/>
          <w:sz w:val="32"/>
          <w:szCs w:val="32"/>
        </w:rPr>
        <w:t>。</w:t>
      </w:r>
    </w:p>
    <w:p>
      <w:pPr>
        <w:spacing w:line="560" w:lineRule="exact"/>
        <w:ind w:firstLine="643" w:firstLineChars="200"/>
        <w:rPr>
          <w:rFonts w:ascii="仿宋_GB2312" w:hAnsi="宋体" w:eastAsia="仿宋_GB2312" w:cs="仿宋_GB2312"/>
          <w:color w:val="000000"/>
          <w:kern w:val="0"/>
          <w:sz w:val="32"/>
          <w:szCs w:val="32"/>
        </w:rPr>
      </w:pPr>
      <w:r>
        <w:rPr>
          <w:rFonts w:hint="eastAsia" w:ascii="仿宋_GB2312" w:hAnsi="宋体" w:eastAsia="仿宋_GB2312" w:cs="仿宋_GB2312"/>
          <w:b/>
          <w:kern w:val="0"/>
          <w:sz w:val="32"/>
          <w:szCs w:val="32"/>
        </w:rPr>
        <w:t>招商重点：</w:t>
      </w:r>
      <w:r>
        <w:rPr>
          <w:rFonts w:hint="eastAsia" w:ascii="仿宋_GB2312" w:hAnsi="宋体" w:eastAsia="仿宋_GB2312" w:cs="仿宋_GB2312"/>
          <w:color w:val="000000"/>
          <w:kern w:val="0"/>
          <w:sz w:val="32"/>
          <w:szCs w:val="32"/>
        </w:rPr>
        <w:t>大力招引平台型、旗舰型、高效益型人力资源企业。</w:t>
      </w:r>
    </w:p>
    <w:p>
      <w:pPr>
        <w:spacing w:line="560" w:lineRule="exact"/>
        <w:ind w:firstLine="640" w:firstLineChars="200"/>
        <w:rPr>
          <w:rFonts w:ascii="楷体" w:hAnsi="楷体" w:eastAsia="楷体"/>
          <w:color w:val="000000"/>
          <w:sz w:val="32"/>
          <w:szCs w:val="32"/>
          <w:lang w:val="zh-CN"/>
        </w:rPr>
      </w:pPr>
      <w:r>
        <w:rPr>
          <w:rFonts w:hint="eastAsia" w:ascii="楷体" w:hAnsi="楷体" w:eastAsia="楷体"/>
          <w:color w:val="000000"/>
          <w:sz w:val="32"/>
          <w:szCs w:val="32"/>
        </w:rPr>
        <w:t>3、</w:t>
      </w:r>
      <w:r>
        <w:rPr>
          <w:rFonts w:hint="eastAsia" w:ascii="楷体" w:hAnsi="楷体" w:eastAsia="楷体"/>
          <w:color w:val="000000"/>
          <w:sz w:val="32"/>
          <w:szCs w:val="32"/>
          <w:lang w:val="zh-CN"/>
        </w:rPr>
        <w:t>商贸物流产业</w:t>
      </w:r>
    </w:p>
    <w:p>
      <w:pPr>
        <w:spacing w:line="560" w:lineRule="exact"/>
        <w:ind w:firstLine="640" w:firstLineChars="200"/>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天心区自古以来便是长沙市的中心城区和商业核心区，商贸流通业态发达，北部素有“三湘第一商圈”美誉的五一商</w:t>
      </w:r>
      <w:r>
        <w:rPr>
          <w:rFonts w:hint="eastAsia" w:ascii="仿宋_GB2312" w:hAnsi="宋体" w:eastAsia="仿宋_GB2312" w:cs="仿宋_GB2312"/>
          <w:kern w:val="0"/>
          <w:sz w:val="32"/>
          <w:szCs w:val="32"/>
        </w:rPr>
        <w:t>圈欣欣向荣，</w:t>
      </w:r>
      <w:r>
        <w:rPr>
          <w:rFonts w:hint="eastAsia" w:ascii="仿宋_GB2312" w:hAnsi="宋体" w:eastAsia="仿宋_GB2312" w:cs="仿宋_GB2312"/>
          <w:color w:val="000000"/>
          <w:kern w:val="0"/>
          <w:sz w:val="32"/>
          <w:szCs w:val="32"/>
        </w:rPr>
        <w:t>中部方向感国际汽车6S街区等特色街区繁荣发展，南部联动三市的长株潭</w:t>
      </w:r>
      <w:r>
        <w:rPr>
          <w:rFonts w:hint="eastAsia" w:ascii="仿宋_GB2312" w:hAnsi="宋体" w:eastAsia="仿宋_GB2312" w:cs="仿宋_GB2312"/>
          <w:color w:val="000000"/>
          <w:kern w:val="0"/>
          <w:sz w:val="32"/>
          <w:szCs w:val="32"/>
          <w:lang w:eastAsia="zh-CN"/>
        </w:rPr>
        <w:t>商圈</w:t>
      </w:r>
      <w:r>
        <w:rPr>
          <w:rFonts w:hint="eastAsia" w:ascii="仿宋_GB2312" w:hAnsi="宋体" w:eastAsia="仿宋_GB2312" w:cs="仿宋_GB2312"/>
          <w:color w:val="000000"/>
          <w:kern w:val="0"/>
          <w:sz w:val="32"/>
          <w:szCs w:val="32"/>
        </w:rPr>
        <w:t>迅速崛起，呈现出传统商业和现代商贸交相辉映、竞相发展的良好态势。未来，</w:t>
      </w:r>
      <w:r>
        <w:rPr>
          <w:rFonts w:ascii="仿宋_GB2312" w:hAnsi="宋体" w:eastAsia="仿宋_GB2312" w:cs="仿宋_GB2312"/>
          <w:color w:val="000000"/>
          <w:kern w:val="0"/>
          <w:sz w:val="32"/>
          <w:szCs w:val="32"/>
        </w:rPr>
        <w:t>五一商圈</w:t>
      </w:r>
      <w:r>
        <w:rPr>
          <w:rFonts w:hint="eastAsia" w:ascii="仿宋_GB2312" w:hAnsi="宋体" w:eastAsia="仿宋_GB2312" w:cs="仿宋_GB2312"/>
          <w:color w:val="000000"/>
          <w:kern w:val="0"/>
          <w:sz w:val="32"/>
          <w:szCs w:val="32"/>
        </w:rPr>
        <w:t>将积极</w:t>
      </w:r>
      <w:r>
        <w:rPr>
          <w:rFonts w:ascii="仿宋_GB2312" w:hAnsi="宋体" w:eastAsia="仿宋_GB2312" w:cs="仿宋_GB2312"/>
          <w:color w:val="000000"/>
          <w:kern w:val="0"/>
          <w:sz w:val="32"/>
          <w:szCs w:val="32"/>
        </w:rPr>
        <w:t>引</w:t>
      </w:r>
      <w:r>
        <w:rPr>
          <w:rFonts w:hint="eastAsia" w:ascii="仿宋_GB2312" w:hAnsi="宋体" w:eastAsia="仿宋_GB2312" w:cs="仿宋_GB2312"/>
          <w:color w:val="000000"/>
          <w:kern w:val="0"/>
          <w:sz w:val="32"/>
          <w:szCs w:val="32"/>
        </w:rPr>
        <w:t>入</w:t>
      </w:r>
      <w:r>
        <w:rPr>
          <w:rFonts w:ascii="仿宋_GB2312" w:hAnsi="宋体" w:eastAsia="仿宋_GB2312" w:cs="仿宋_GB2312"/>
          <w:color w:val="000000"/>
          <w:kern w:val="0"/>
          <w:sz w:val="32"/>
          <w:szCs w:val="32"/>
        </w:rPr>
        <w:t>新</w:t>
      </w:r>
      <w:r>
        <w:rPr>
          <w:rFonts w:hint="eastAsia" w:ascii="仿宋_GB2312" w:hAnsi="宋体" w:eastAsia="仿宋_GB2312" w:cs="仿宋_GB2312"/>
          <w:color w:val="000000"/>
          <w:kern w:val="0"/>
          <w:sz w:val="32"/>
          <w:szCs w:val="32"/>
        </w:rPr>
        <w:t>业</w:t>
      </w:r>
      <w:r>
        <w:rPr>
          <w:rFonts w:ascii="仿宋_GB2312" w:hAnsi="宋体" w:eastAsia="仿宋_GB2312" w:cs="仿宋_GB2312"/>
          <w:color w:val="000000"/>
          <w:kern w:val="0"/>
          <w:sz w:val="32"/>
          <w:szCs w:val="32"/>
        </w:rPr>
        <w:t>态</w:t>
      </w:r>
      <w:r>
        <w:rPr>
          <w:rFonts w:hint="eastAsia" w:ascii="仿宋_GB2312" w:hAnsi="宋体" w:eastAsia="仿宋_GB2312" w:cs="仿宋_GB2312"/>
          <w:color w:val="000000"/>
          <w:kern w:val="0"/>
          <w:sz w:val="32"/>
          <w:szCs w:val="32"/>
        </w:rPr>
        <w:t>、新</w:t>
      </w:r>
      <w:r>
        <w:rPr>
          <w:rFonts w:ascii="仿宋_GB2312" w:hAnsi="宋体" w:eastAsia="仿宋_GB2312" w:cs="仿宋_GB2312"/>
          <w:color w:val="000000"/>
          <w:kern w:val="0"/>
          <w:sz w:val="32"/>
          <w:szCs w:val="32"/>
        </w:rPr>
        <w:t>品牌</w:t>
      </w:r>
      <w:r>
        <w:rPr>
          <w:rFonts w:hint="eastAsia" w:ascii="仿宋_GB2312" w:hAnsi="宋体" w:eastAsia="仿宋_GB2312" w:cs="仿宋_GB2312"/>
          <w:color w:val="000000"/>
          <w:kern w:val="0"/>
          <w:sz w:val="32"/>
          <w:szCs w:val="32"/>
        </w:rPr>
        <w:t>、新</w:t>
      </w:r>
      <w:r>
        <w:rPr>
          <w:rFonts w:ascii="仿宋_GB2312" w:hAnsi="宋体" w:eastAsia="仿宋_GB2312" w:cs="仿宋_GB2312"/>
          <w:color w:val="000000"/>
          <w:kern w:val="0"/>
          <w:sz w:val="32"/>
          <w:szCs w:val="32"/>
        </w:rPr>
        <w:t>商业模式</w:t>
      </w:r>
      <w:r>
        <w:rPr>
          <w:rFonts w:hint="eastAsia" w:ascii="仿宋_GB2312" w:hAnsi="宋体" w:eastAsia="仿宋_GB2312" w:cs="仿宋_GB2312"/>
          <w:color w:val="000000"/>
          <w:kern w:val="0"/>
          <w:sz w:val="32"/>
          <w:szCs w:val="32"/>
        </w:rPr>
        <w:t>，打通线上线下双渠道“消费升级”，重塑消费新生态，建设国内一流商圈；长株潭商圈将加快做好友阿奥特莱斯、中海环宇城、鑫远鑫悦汇等综合体互联互通，引导商贸业聚集发展；现代物流产业将加快布局，推动一力物流园转型升级，促进长株潭烟草物流园发展，构建多元物流发展格局。</w:t>
      </w:r>
    </w:p>
    <w:p>
      <w:pPr>
        <w:spacing w:line="560" w:lineRule="exact"/>
        <w:ind w:firstLine="643" w:firstLineChars="200"/>
        <w:rPr>
          <w:rFonts w:ascii="仿宋_GB2312" w:hAnsi="宋体" w:eastAsia="仿宋_GB2312" w:cs="仿宋_GB2312"/>
          <w:color w:val="000000"/>
          <w:kern w:val="0"/>
          <w:sz w:val="32"/>
          <w:szCs w:val="32"/>
        </w:rPr>
      </w:pPr>
      <w:r>
        <w:rPr>
          <w:rFonts w:hint="eastAsia" w:ascii="仿宋_GB2312" w:hAnsi="宋体" w:eastAsia="仿宋_GB2312" w:cs="仿宋_GB2312"/>
          <w:b/>
          <w:kern w:val="0"/>
          <w:sz w:val="32"/>
          <w:szCs w:val="32"/>
        </w:rPr>
        <w:t>招商重点：</w:t>
      </w:r>
      <w:r>
        <w:rPr>
          <w:rFonts w:hint="eastAsia" w:ascii="仿宋_GB2312" w:hAnsi="宋体" w:eastAsia="仿宋_GB2312" w:cs="仿宋_GB2312"/>
          <w:color w:val="000000"/>
          <w:kern w:val="0"/>
          <w:sz w:val="32"/>
          <w:szCs w:val="32"/>
        </w:rPr>
        <w:t>商贸流通行业龙头企业、品牌企业、业态创新型企业</w:t>
      </w:r>
    </w:p>
    <w:p>
      <w:pPr>
        <w:spacing w:line="560" w:lineRule="exact"/>
        <w:ind w:firstLine="640" w:firstLineChars="200"/>
        <w:rPr>
          <w:rFonts w:ascii="楷体" w:hAnsi="楷体" w:eastAsia="楷体"/>
          <w:color w:val="000000"/>
          <w:sz w:val="32"/>
          <w:szCs w:val="32"/>
          <w:lang w:val="zh-CN"/>
        </w:rPr>
      </w:pPr>
      <w:r>
        <w:rPr>
          <w:rFonts w:hint="eastAsia" w:ascii="楷体" w:hAnsi="楷体" w:eastAsia="楷体"/>
          <w:color w:val="000000"/>
          <w:sz w:val="32"/>
          <w:szCs w:val="32"/>
        </w:rPr>
        <w:t>4、</w:t>
      </w:r>
      <w:r>
        <w:rPr>
          <w:rFonts w:hint="eastAsia" w:ascii="楷体" w:hAnsi="楷体" w:eastAsia="楷体"/>
          <w:color w:val="000000"/>
          <w:sz w:val="32"/>
          <w:szCs w:val="32"/>
          <w:lang w:val="zh-CN"/>
        </w:rPr>
        <w:t>现代金融产业</w:t>
      </w:r>
    </w:p>
    <w:p>
      <w:pPr>
        <w:spacing w:line="560" w:lineRule="exact"/>
        <w:ind w:firstLine="640" w:firstLineChars="200"/>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金融业作为现代服务业的重要组成部分，是汇聚城市财富流和资金流的重要产业体系。天心区“湘江金融外滩”沿江而建，傍水生财，聚集了北京银行长沙分行、国家开发银行湖南省分行、华融湘江银行全国总部、长沙平安财富中心等各类金融机构</w:t>
      </w:r>
      <w:r>
        <w:rPr>
          <w:rFonts w:hint="eastAsia" w:ascii="仿宋_GB2312" w:hAnsi="宋体" w:eastAsia="仿宋_GB2312" w:cs="仿宋_GB2312"/>
          <w:color w:val="000000"/>
          <w:kern w:val="0"/>
          <w:sz w:val="32"/>
          <w:szCs w:val="32"/>
          <w:lang w:val="en-US" w:eastAsia="zh-CN"/>
        </w:rPr>
        <w:t>351</w:t>
      </w:r>
      <w:r>
        <w:rPr>
          <w:rFonts w:hint="eastAsia" w:ascii="仿宋_GB2312" w:hAnsi="宋体" w:eastAsia="仿宋_GB2312" w:cs="仿宋_GB2312"/>
          <w:color w:val="000000"/>
          <w:kern w:val="0"/>
          <w:sz w:val="32"/>
          <w:szCs w:val="32"/>
        </w:rPr>
        <w:t>家，金融业税收占全区税收达31%。未来，将以长沙金融外滩为重点，提升产业发展规划，支持金融企业落户华远华中心、汇景环球、平安财富、保利国际等优质楼宇，吸引各类产业投资基金落户，构建多层次资本市场，促进金融产业做大做强。</w:t>
      </w:r>
    </w:p>
    <w:p>
      <w:pPr>
        <w:spacing w:line="560" w:lineRule="exact"/>
        <w:ind w:firstLine="643" w:firstLineChars="200"/>
        <w:rPr>
          <w:rFonts w:ascii="仿宋_GB2312" w:hAnsi="宋体" w:eastAsia="仿宋_GB2312" w:cs="仿宋_GB2312"/>
          <w:color w:val="000000"/>
          <w:kern w:val="0"/>
          <w:sz w:val="32"/>
          <w:szCs w:val="32"/>
        </w:rPr>
      </w:pPr>
      <w:r>
        <w:rPr>
          <w:rFonts w:hint="eastAsia" w:ascii="仿宋_GB2312" w:hAnsi="宋体" w:eastAsia="仿宋_GB2312" w:cs="仿宋_GB2312"/>
          <w:b/>
          <w:kern w:val="0"/>
          <w:sz w:val="32"/>
          <w:szCs w:val="32"/>
        </w:rPr>
        <w:t>招商重点：</w:t>
      </w:r>
      <w:r>
        <w:rPr>
          <w:rFonts w:hint="eastAsia" w:ascii="仿宋_GB2312" w:hAnsi="宋体" w:eastAsia="仿宋_GB2312" w:cs="仿宋_GB2312"/>
          <w:color w:val="000000"/>
          <w:kern w:val="0"/>
          <w:sz w:val="32"/>
          <w:szCs w:val="32"/>
        </w:rPr>
        <w:t>各类金融机构总部及分支机构、会计事务所、律师事务所等金融中介服务机构。</w:t>
      </w:r>
    </w:p>
    <w:p>
      <w:pPr>
        <w:spacing w:line="560" w:lineRule="exact"/>
        <w:ind w:firstLine="640" w:firstLineChars="200"/>
        <w:rPr>
          <w:rFonts w:ascii="楷体" w:hAnsi="楷体" w:eastAsia="楷体"/>
          <w:color w:val="000000"/>
          <w:sz w:val="32"/>
          <w:szCs w:val="32"/>
          <w:lang w:val="zh-CN"/>
        </w:rPr>
      </w:pPr>
      <w:r>
        <w:rPr>
          <w:rFonts w:hint="eastAsia" w:ascii="楷体" w:hAnsi="楷体" w:eastAsia="楷体"/>
          <w:color w:val="000000"/>
          <w:sz w:val="32"/>
          <w:szCs w:val="32"/>
        </w:rPr>
        <w:t>5、</w:t>
      </w:r>
      <w:r>
        <w:rPr>
          <w:rFonts w:hint="eastAsia" w:ascii="楷体" w:hAnsi="楷体" w:eastAsia="楷体"/>
          <w:color w:val="000000"/>
          <w:sz w:val="32"/>
          <w:szCs w:val="32"/>
          <w:lang w:val="zh-CN"/>
        </w:rPr>
        <w:t>文化创意产业</w:t>
      </w:r>
    </w:p>
    <w:p>
      <w:pPr>
        <w:spacing w:line="560" w:lineRule="exact"/>
        <w:ind w:firstLine="640" w:firstLineChars="200"/>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城市，因商业而兴，因产业而强，因文化而立。天心区既是底蕴厚重的文化景观区，也是产业繁荣的文化创意区，拥有国家级园区长沙天心文化（广告）产业园，园区挂有国家级文化产业示范园、国家级广告产业园、国家级数字出版基地三块牌子，是全国首批9家国家广告产业园区之一首批13家商标受理机构之一、首批25家商标质押中心的园区之一。核心园区总占地450亩，总建筑面积约80万㎡，已有1000余家企业入驻。未来，将充分发挥老城区文脉底蕴深厚和文化资源集聚优势，扩大国家级文创园区品牌影响，培育具有品牌优势、创新优势、规模优势的文创骨干企业，支持企业做大做强。</w:t>
      </w:r>
    </w:p>
    <w:p>
      <w:pPr>
        <w:spacing w:line="560" w:lineRule="exact"/>
        <w:ind w:firstLine="643" w:firstLineChars="200"/>
        <w:rPr>
          <w:rFonts w:ascii="仿宋_GB2312" w:hAnsi="宋体" w:eastAsia="仿宋_GB2312" w:cs="仿宋_GB2312"/>
          <w:color w:val="000000"/>
          <w:kern w:val="0"/>
          <w:sz w:val="32"/>
          <w:szCs w:val="32"/>
        </w:rPr>
      </w:pPr>
      <w:r>
        <w:rPr>
          <w:rFonts w:hint="eastAsia" w:ascii="仿宋_GB2312" w:hAnsi="宋体" w:eastAsia="仿宋_GB2312" w:cs="仿宋_GB2312"/>
          <w:b/>
          <w:kern w:val="0"/>
          <w:sz w:val="32"/>
          <w:szCs w:val="32"/>
        </w:rPr>
        <w:t>招商重点：</w:t>
      </w:r>
      <w:r>
        <w:rPr>
          <w:rFonts w:hint="eastAsia" w:ascii="仿宋_GB2312" w:hAnsi="宋体" w:eastAsia="仿宋_GB2312" w:cs="仿宋_GB2312"/>
          <w:color w:val="000000"/>
          <w:kern w:val="0"/>
          <w:sz w:val="32"/>
          <w:szCs w:val="32"/>
        </w:rPr>
        <w:t>广告文创、互联网、新媒体、IP四大产业导向型企业。</w:t>
      </w:r>
    </w:p>
    <w:p>
      <w:pPr>
        <w:spacing w:line="560" w:lineRule="exact"/>
        <w:ind w:firstLine="640" w:firstLineChars="200"/>
        <w:rPr>
          <w:rFonts w:ascii="楷体" w:hAnsi="楷体" w:eastAsia="楷体"/>
          <w:color w:val="000000"/>
          <w:sz w:val="32"/>
          <w:szCs w:val="32"/>
          <w:lang w:val="zh-CN"/>
        </w:rPr>
      </w:pPr>
      <w:r>
        <w:rPr>
          <w:rFonts w:hint="eastAsia" w:ascii="楷体" w:hAnsi="楷体" w:eastAsia="楷体"/>
          <w:color w:val="000000"/>
          <w:sz w:val="32"/>
          <w:szCs w:val="32"/>
        </w:rPr>
        <w:t>6、</w:t>
      </w:r>
      <w:r>
        <w:rPr>
          <w:rFonts w:hint="eastAsia" w:ascii="楷体" w:hAnsi="楷体" w:eastAsia="楷体"/>
          <w:color w:val="000000"/>
          <w:sz w:val="32"/>
          <w:szCs w:val="32"/>
          <w:lang w:val="zh-CN"/>
        </w:rPr>
        <w:t>健康医疗产业</w:t>
      </w:r>
    </w:p>
    <w:p>
      <w:pPr>
        <w:spacing w:line="560" w:lineRule="exact"/>
        <w:ind w:firstLine="640" w:firstLineChars="200"/>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天心区拥有空间开放式绿心、生态动物园、湘江生态带等城市生态环境资源，拥有湘雅五医院（在建）、爱尔眼科总部基地（在建）等优良硬件条件，健康医疗产业发展具有得天独厚的条件。未来，将着力增强企业核心竞争力，加快推进湘雅五医院、爱尔眼科集团总部建设，推动健康医疗产业集聚发展。</w:t>
      </w:r>
    </w:p>
    <w:p>
      <w:pPr>
        <w:spacing w:line="560" w:lineRule="exact"/>
        <w:ind w:firstLine="643" w:firstLineChars="200"/>
        <w:rPr>
          <w:rFonts w:ascii="仿宋_GB2312" w:hAnsi="宋体" w:eastAsia="仿宋_GB2312" w:cs="仿宋_GB2312"/>
          <w:color w:val="000000"/>
          <w:kern w:val="0"/>
          <w:sz w:val="32"/>
          <w:szCs w:val="32"/>
        </w:rPr>
      </w:pPr>
      <w:r>
        <w:rPr>
          <w:rFonts w:hint="eastAsia" w:ascii="仿宋_GB2312" w:hAnsi="宋体" w:eastAsia="仿宋_GB2312" w:cs="仿宋_GB2312"/>
          <w:b/>
          <w:kern w:val="0"/>
          <w:sz w:val="32"/>
          <w:szCs w:val="32"/>
        </w:rPr>
        <w:t>招商重点：</w:t>
      </w:r>
      <w:r>
        <w:rPr>
          <w:rFonts w:hint="eastAsia" w:ascii="仿宋_GB2312" w:hAnsi="宋体" w:eastAsia="仿宋_GB2312" w:cs="仿宋_GB2312"/>
          <w:color w:val="000000"/>
          <w:kern w:val="0"/>
          <w:sz w:val="32"/>
          <w:szCs w:val="32"/>
        </w:rPr>
        <w:t>医药物流、医疗器械、精准医疗、健康医疗产业战略资本、行业龙头企业</w:t>
      </w:r>
    </w:p>
    <w:p>
      <w:pPr>
        <w:spacing w:line="560" w:lineRule="exact"/>
        <w:ind w:firstLine="640" w:firstLineChars="200"/>
        <w:rPr>
          <w:rFonts w:ascii="楷体" w:hAnsi="楷体" w:eastAsia="楷体"/>
          <w:color w:val="000000"/>
          <w:sz w:val="32"/>
          <w:szCs w:val="32"/>
          <w:lang w:val="zh-CN"/>
        </w:rPr>
      </w:pPr>
      <w:r>
        <w:rPr>
          <w:rFonts w:hint="eastAsia" w:ascii="楷体" w:hAnsi="楷体" w:eastAsia="楷体"/>
          <w:color w:val="000000"/>
          <w:sz w:val="32"/>
          <w:szCs w:val="32"/>
        </w:rPr>
        <w:t>7、</w:t>
      </w:r>
      <w:r>
        <w:rPr>
          <w:rFonts w:hint="eastAsia" w:ascii="楷体" w:hAnsi="楷体" w:eastAsia="楷体"/>
          <w:color w:val="000000"/>
          <w:sz w:val="32"/>
          <w:szCs w:val="32"/>
          <w:lang w:val="zh-CN"/>
        </w:rPr>
        <w:t>旅游休闲产业</w:t>
      </w:r>
    </w:p>
    <w:p>
      <w:pPr>
        <w:spacing w:line="560" w:lineRule="exact"/>
        <w:ind w:firstLine="640" w:firstLineChars="200"/>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天心区聚集了长沙60%的历史文化景点，有天心古阁、白沙古井、第一师范、贾谊故居等闻名遐迩的历史文化遗产，有生态动物园、省科技馆、简牍博物馆等现代文化休闲旅游资源，全区以“旅游+互联网”等模式为导向，积极探索“政府引导、平台推动、企业参与”的工作模式，大力推进智慧旅游建设，有效地带动了区内旅游行业的转型升级。2018年，全区共接待国内外游客1600万余人次，实现旅游收入196亿元。未来，将充分发挥“坐城、临江、望岳、观洲、听水”的独特优势，深入挖掘坡子街、白沙古井等历史文化底蕴，盘活“三馆一中心”、生态动物园、美丽乡村示范村等优质资源，着力打造“天天精彩、人人动心”的全域旅游发展格局。</w:t>
      </w:r>
    </w:p>
    <w:p>
      <w:pPr>
        <w:spacing w:line="560" w:lineRule="exact"/>
        <w:ind w:firstLine="643" w:firstLineChars="200"/>
        <w:rPr>
          <w:rFonts w:ascii="Times New Roman" w:hAnsi="Times New Roman" w:eastAsia="仿宋_GB2312"/>
          <w:sz w:val="32"/>
          <w:szCs w:val="32"/>
        </w:rPr>
      </w:pPr>
      <w:r>
        <w:rPr>
          <w:rFonts w:hint="eastAsia" w:ascii="仿宋_GB2312" w:hAnsi="宋体" w:eastAsia="仿宋_GB2312" w:cs="仿宋_GB2312"/>
          <w:b/>
          <w:kern w:val="0"/>
          <w:sz w:val="32"/>
          <w:szCs w:val="32"/>
        </w:rPr>
        <w:t>招商重点：</w:t>
      </w:r>
      <w:r>
        <w:rPr>
          <w:rFonts w:hint="eastAsia" w:ascii="仿宋_GB2312" w:hAnsi="宋体" w:eastAsia="仿宋_GB2312" w:cs="仿宋_GB2312"/>
          <w:color w:val="000000"/>
          <w:kern w:val="0"/>
          <w:sz w:val="32"/>
          <w:szCs w:val="32"/>
        </w:rPr>
        <w:t>有能力、有实力、有资历的文旅休闲龙头企业。</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三、重点招商资源</w:t>
      </w:r>
    </w:p>
    <w:p>
      <w:pPr>
        <w:spacing w:line="560" w:lineRule="exact"/>
        <w:ind w:firstLine="640" w:firstLineChars="200"/>
        <w:rPr>
          <w:rFonts w:hint="eastAsia" w:ascii="楷体" w:hAnsi="楷体" w:eastAsia="楷体"/>
          <w:color w:val="000000"/>
          <w:sz w:val="32"/>
          <w:szCs w:val="32"/>
          <w:lang w:val="zh-CN"/>
        </w:rPr>
      </w:pPr>
      <w:bookmarkStart w:id="4" w:name="OLE_LINK1"/>
      <w:r>
        <w:rPr>
          <w:rFonts w:hint="eastAsia" w:ascii="楷体" w:hAnsi="楷体" w:eastAsia="楷体"/>
          <w:color w:val="000000"/>
          <w:sz w:val="32"/>
          <w:szCs w:val="32"/>
          <w:lang w:val="zh-CN"/>
        </w:rPr>
        <w:t>（</w:t>
      </w:r>
      <w:r>
        <w:rPr>
          <w:rFonts w:hint="eastAsia" w:ascii="楷体" w:hAnsi="楷体" w:eastAsia="楷体"/>
          <w:color w:val="000000"/>
          <w:sz w:val="32"/>
          <w:szCs w:val="32"/>
        </w:rPr>
        <w:t>一</w:t>
      </w:r>
      <w:r>
        <w:rPr>
          <w:rFonts w:hint="eastAsia" w:ascii="楷体" w:hAnsi="楷体" w:eastAsia="楷体"/>
          <w:color w:val="000000"/>
          <w:sz w:val="32"/>
          <w:szCs w:val="32"/>
          <w:lang w:val="zh-CN"/>
        </w:rPr>
        <w:t>）重点商务楼宇</w:t>
      </w:r>
    </w:p>
    <w:p>
      <w:pPr>
        <w:spacing w:line="560" w:lineRule="exact"/>
        <w:ind w:firstLine="640" w:firstLineChars="200"/>
        <w:rPr>
          <w:rFonts w:hint="eastAsia" w:ascii="楷体" w:hAnsi="楷体" w:eastAsia="楷体"/>
          <w:color w:val="000000"/>
          <w:sz w:val="32"/>
          <w:szCs w:val="32"/>
          <w:lang w:val="zh-CN"/>
        </w:rPr>
      </w:pPr>
    </w:p>
    <w:tbl>
      <w:tblPr>
        <w:tblStyle w:val="7"/>
        <w:tblW w:w="9961" w:type="dxa"/>
        <w:jc w:val="center"/>
        <w:tblInd w:w="1247" w:type="dxa"/>
        <w:tblLayout w:type="fixed"/>
        <w:tblCellMar>
          <w:top w:w="15" w:type="dxa"/>
          <w:left w:w="15" w:type="dxa"/>
          <w:bottom w:w="15" w:type="dxa"/>
          <w:right w:w="15" w:type="dxa"/>
        </w:tblCellMar>
      </w:tblPr>
      <w:tblGrid>
        <w:gridCol w:w="628"/>
        <w:gridCol w:w="1376"/>
        <w:gridCol w:w="5628"/>
        <w:gridCol w:w="2329"/>
      </w:tblGrid>
      <w:tr>
        <w:tblPrEx>
          <w:tblLayout w:type="fixed"/>
          <w:tblCellMar>
            <w:top w:w="15" w:type="dxa"/>
            <w:left w:w="15" w:type="dxa"/>
            <w:bottom w:w="15" w:type="dxa"/>
            <w:right w:w="15" w:type="dxa"/>
          </w:tblCellMar>
        </w:tblPrEx>
        <w:trPr>
          <w:trHeight w:val="613" w:hRule="atLeast"/>
          <w:tblHeader/>
          <w:jc w:val="center"/>
        </w:trPr>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kern w:val="0"/>
                <w:sz w:val="24"/>
                <w:szCs w:val="24"/>
              </w:rPr>
            </w:pPr>
            <w:r>
              <w:rPr>
                <w:rFonts w:hint="eastAsia" w:ascii="黑体" w:hAnsi="黑体" w:eastAsia="黑体" w:cs="仿宋_GB2312"/>
                <w:color w:val="000000"/>
                <w:kern w:val="0"/>
                <w:sz w:val="24"/>
                <w:szCs w:val="24"/>
              </w:rPr>
              <w:t>序号</w:t>
            </w:r>
          </w:p>
        </w:tc>
        <w:tc>
          <w:tcPr>
            <w:tcW w:w="1376"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sz w:val="24"/>
                <w:szCs w:val="24"/>
              </w:rPr>
            </w:pPr>
            <w:r>
              <w:rPr>
                <w:rFonts w:hint="eastAsia" w:ascii="黑体" w:hAnsi="黑体" w:eastAsia="黑体" w:cs="仿宋_GB2312"/>
                <w:color w:val="000000"/>
                <w:kern w:val="0"/>
                <w:sz w:val="24"/>
                <w:szCs w:val="24"/>
              </w:rPr>
              <w:t>楼宇名称</w:t>
            </w:r>
          </w:p>
        </w:tc>
        <w:tc>
          <w:tcPr>
            <w:tcW w:w="5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sz w:val="24"/>
                <w:szCs w:val="24"/>
              </w:rPr>
            </w:pPr>
            <w:r>
              <w:rPr>
                <w:rFonts w:hint="eastAsia" w:ascii="黑体" w:hAnsi="黑体" w:eastAsia="黑体" w:cs="仿宋_GB2312"/>
                <w:color w:val="000000"/>
                <w:kern w:val="0"/>
                <w:sz w:val="24"/>
                <w:szCs w:val="24"/>
              </w:rPr>
              <w:t>基本情况（区位、规模、定位）</w:t>
            </w:r>
          </w:p>
        </w:tc>
        <w:tc>
          <w:tcPr>
            <w:tcW w:w="2329"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sz w:val="24"/>
                <w:szCs w:val="24"/>
              </w:rPr>
            </w:pPr>
            <w:r>
              <w:rPr>
                <w:rFonts w:hint="eastAsia" w:ascii="黑体" w:hAnsi="黑体" w:eastAsia="黑体" w:cs="仿宋_GB2312"/>
                <w:color w:val="000000"/>
                <w:kern w:val="0"/>
                <w:sz w:val="24"/>
                <w:szCs w:val="24"/>
              </w:rPr>
              <w:t>空置面积</w:t>
            </w:r>
          </w:p>
        </w:tc>
      </w:tr>
      <w:tr>
        <w:tblPrEx>
          <w:tblLayout w:type="fixed"/>
          <w:tblCellMar>
            <w:top w:w="15" w:type="dxa"/>
            <w:left w:w="15" w:type="dxa"/>
            <w:bottom w:w="15" w:type="dxa"/>
            <w:right w:w="15" w:type="dxa"/>
          </w:tblCellMar>
        </w:tblPrEx>
        <w:trPr>
          <w:trHeight w:val="1445" w:hRule="atLeast"/>
          <w:jc w:val="center"/>
        </w:trPr>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1376"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华远国际中心</w:t>
            </w:r>
          </w:p>
        </w:tc>
        <w:tc>
          <w:tcPr>
            <w:tcW w:w="5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left"/>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华远国际中心位于人民路与湘江路交汇处东北角，总体量约9万平米，项目定位为集商业、商务、居住、金融为一体的大型城市综合体。</w:t>
            </w:r>
          </w:p>
        </w:tc>
        <w:tc>
          <w:tcPr>
            <w:tcW w:w="2329"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约6000平米</w:t>
            </w:r>
          </w:p>
          <w:p>
            <w:pPr>
              <w:widowControl/>
              <w:spacing w:line="560" w:lineRule="exact"/>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主要分布在24-30楼</w:t>
            </w:r>
          </w:p>
        </w:tc>
      </w:tr>
      <w:tr>
        <w:tblPrEx>
          <w:tblLayout w:type="fixed"/>
          <w:tblCellMar>
            <w:top w:w="15" w:type="dxa"/>
            <w:left w:w="15" w:type="dxa"/>
            <w:bottom w:w="15" w:type="dxa"/>
            <w:right w:w="15" w:type="dxa"/>
          </w:tblCellMar>
        </w:tblPrEx>
        <w:trPr>
          <w:trHeight w:val="1953" w:hRule="atLeast"/>
          <w:jc w:val="center"/>
        </w:trPr>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仿宋_GB2312"/>
                <w:color w:val="000000"/>
                <w:kern w:val="0"/>
                <w:sz w:val="22"/>
              </w:rPr>
            </w:pPr>
            <w:r>
              <w:rPr>
                <w:rFonts w:hint="eastAsia" w:ascii="仿宋_GB2312" w:hAnsi="宋体" w:eastAsia="仿宋_GB2312" w:cs="仿宋_GB2312"/>
                <w:color w:val="000000"/>
                <w:kern w:val="0"/>
                <w:sz w:val="22"/>
              </w:rPr>
              <w:t>2</w:t>
            </w:r>
          </w:p>
        </w:tc>
        <w:tc>
          <w:tcPr>
            <w:tcW w:w="1376"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宋体" w:eastAsia="仿宋_GB2312" w:cs="仿宋_GB2312"/>
                <w:color w:val="000000"/>
                <w:kern w:val="0"/>
                <w:sz w:val="22"/>
              </w:rPr>
              <w:t>汇景发展环球中心</w:t>
            </w:r>
          </w:p>
        </w:tc>
        <w:tc>
          <w:tcPr>
            <w:tcW w:w="5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left"/>
              <w:textAlignment w:val="center"/>
              <w:rPr>
                <w:rFonts w:ascii="仿宋_GB2312" w:hAnsi="仿宋_GB2312" w:eastAsia="仿宋_GB2312" w:cs="仿宋_GB2312"/>
                <w:color w:val="000000"/>
                <w:kern w:val="0"/>
                <w:sz w:val="24"/>
                <w:szCs w:val="24"/>
              </w:rPr>
            </w:pPr>
            <w:r>
              <w:rPr>
                <w:rFonts w:hint="eastAsia" w:ascii="仿宋_GB2312" w:hAnsi="宋体" w:eastAsia="仿宋_GB2312" w:cs="仿宋_GB2312"/>
                <w:color w:val="000000"/>
                <w:kern w:val="0"/>
                <w:sz w:val="22"/>
              </w:rPr>
              <w:t>汇景发展环球中心位于白沙路与湘江中路交汇处东北角，总体量约30万平米，总招商面积215514平米，项目定位为集酒店、商务、商业等为一体的超5A甲级写字楼。</w:t>
            </w:r>
          </w:p>
        </w:tc>
        <w:tc>
          <w:tcPr>
            <w:tcW w:w="2329"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A、B塔共146300平米，其中办公部分76167平米，商业裙楼35000平米</w:t>
            </w:r>
          </w:p>
        </w:tc>
      </w:tr>
      <w:tr>
        <w:tblPrEx>
          <w:tblLayout w:type="fixed"/>
          <w:tblCellMar>
            <w:top w:w="15" w:type="dxa"/>
            <w:left w:w="15" w:type="dxa"/>
            <w:bottom w:w="15" w:type="dxa"/>
            <w:right w:w="15" w:type="dxa"/>
          </w:tblCellMar>
        </w:tblPrEx>
        <w:trPr>
          <w:trHeight w:val="1762" w:hRule="atLeast"/>
          <w:jc w:val="center"/>
        </w:trPr>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1376"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保利国际广场</w:t>
            </w:r>
          </w:p>
        </w:tc>
        <w:tc>
          <w:tcPr>
            <w:tcW w:w="5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left"/>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保利国际广场位于南湖路与湘江路交汇处东北角。总体量48万平米，其中商业及办公面积19万平米，含1.2万平米地铁商业。项目定位为集酒店、商业、写字楼为一体的超5A甲级写字楼。</w:t>
            </w:r>
          </w:p>
        </w:tc>
        <w:tc>
          <w:tcPr>
            <w:tcW w:w="2329"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约6000平米写字楼</w:t>
            </w:r>
          </w:p>
          <w:p>
            <w:pPr>
              <w:widowControl/>
              <w:spacing w:line="560" w:lineRule="exact"/>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主要在5楼和35楼；10000平米左右的商业</w:t>
            </w:r>
          </w:p>
        </w:tc>
      </w:tr>
      <w:tr>
        <w:tblPrEx>
          <w:tblLayout w:type="fixed"/>
          <w:tblCellMar>
            <w:top w:w="15" w:type="dxa"/>
            <w:left w:w="15" w:type="dxa"/>
            <w:bottom w:w="15" w:type="dxa"/>
            <w:right w:w="15" w:type="dxa"/>
          </w:tblCellMar>
        </w:tblPrEx>
        <w:trPr>
          <w:trHeight w:val="1855" w:hRule="atLeast"/>
          <w:jc w:val="center"/>
        </w:trPr>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1376"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南湖东怡大厦（外国）</w:t>
            </w:r>
          </w:p>
        </w:tc>
        <w:tc>
          <w:tcPr>
            <w:tcW w:w="5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left"/>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南湖东怡大厦位于书院路与南湖路交汇处西南角。总体量约11.6万平米，项目定位为集酒店、办公、商业、住宅为一体的CBD核心城市综合体。</w:t>
            </w:r>
          </w:p>
        </w:tc>
        <w:tc>
          <w:tcPr>
            <w:tcW w:w="2329"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约3200平米</w:t>
            </w:r>
          </w:p>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集中分布在27、29-31层</w:t>
            </w:r>
          </w:p>
        </w:tc>
      </w:tr>
      <w:tr>
        <w:tblPrEx>
          <w:tblLayout w:type="fixed"/>
        </w:tblPrEx>
        <w:trPr>
          <w:trHeight w:val="1916" w:hRule="atLeast"/>
          <w:jc w:val="center"/>
        </w:trPr>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w:t>
            </w:r>
          </w:p>
        </w:tc>
        <w:tc>
          <w:tcPr>
            <w:tcW w:w="1376"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爱尔总部大厦</w:t>
            </w:r>
          </w:p>
        </w:tc>
        <w:tc>
          <w:tcPr>
            <w:tcW w:w="5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left"/>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爱尔总部大厦位于芙蓉南路与新姚北路交界西北角。项目总建筑面积15.4万平米，业态包括两座商务写字楼和商业裙楼，项目定位为超5A专业医疗办公大楼。</w:t>
            </w:r>
          </w:p>
        </w:tc>
        <w:tc>
          <w:tcPr>
            <w:tcW w:w="2329"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约30000平米</w:t>
            </w:r>
          </w:p>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（北塔1-16楼）</w:t>
            </w:r>
          </w:p>
        </w:tc>
      </w:tr>
      <w:tr>
        <w:tblPrEx>
          <w:tblLayout w:type="fixed"/>
          <w:tblCellMar>
            <w:top w:w="15" w:type="dxa"/>
            <w:left w:w="15" w:type="dxa"/>
            <w:bottom w:w="15" w:type="dxa"/>
            <w:right w:w="15" w:type="dxa"/>
          </w:tblCellMar>
        </w:tblPrEx>
        <w:trPr>
          <w:trHeight w:val="2368" w:hRule="atLeast"/>
          <w:jc w:val="center"/>
        </w:trPr>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c>
          <w:tcPr>
            <w:tcW w:w="1376"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徐记大厦</w:t>
            </w:r>
          </w:p>
        </w:tc>
        <w:tc>
          <w:tcPr>
            <w:tcW w:w="5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left"/>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徐记大厦位于湖南省长沙市天心区书香路与青山路交叉口东南角。总建筑面积21610平米，高度44.8米，项目定位为“绿色建筑、高端商务、智能建筑、创意空间”省府前花园式办公总部大厦。</w:t>
            </w:r>
          </w:p>
        </w:tc>
        <w:tc>
          <w:tcPr>
            <w:tcW w:w="2329"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约21610平米</w:t>
            </w:r>
          </w:p>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（招商倾向于整栋租下或大面积持有）</w:t>
            </w:r>
          </w:p>
        </w:tc>
      </w:tr>
      <w:tr>
        <w:tblPrEx>
          <w:tblLayout w:type="fixed"/>
          <w:tblCellMar>
            <w:top w:w="15" w:type="dxa"/>
            <w:left w:w="15" w:type="dxa"/>
            <w:bottom w:w="15" w:type="dxa"/>
            <w:right w:w="15" w:type="dxa"/>
          </w:tblCellMar>
        </w:tblPrEx>
        <w:trPr>
          <w:trHeight w:val="1855" w:hRule="atLeast"/>
          <w:jc w:val="center"/>
        </w:trPr>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7</w:t>
            </w:r>
          </w:p>
        </w:tc>
        <w:tc>
          <w:tcPr>
            <w:tcW w:w="1376"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hint="eastAsia" w:ascii="仿宋_GB2312" w:hAnsi="仿宋_GB2312" w:eastAsia="仿宋_GB2312" w:cs="仿宋_GB2312"/>
                <w:color w:val="000000"/>
                <w:kern w:val="0"/>
                <w:sz w:val="24"/>
                <w:szCs w:val="24"/>
                <w:lang w:eastAsia="zh-CN"/>
              </w:rPr>
            </w:pPr>
            <w:r>
              <w:rPr>
                <w:rFonts w:hint="eastAsia" w:ascii="仿宋_GB2312" w:hAnsi="仿宋_GB2312" w:eastAsia="仿宋_GB2312" w:cs="仿宋_GB2312"/>
                <w:color w:val="000000"/>
                <w:kern w:val="0"/>
                <w:sz w:val="24"/>
                <w:szCs w:val="24"/>
                <w:lang w:eastAsia="zh-CN"/>
              </w:rPr>
              <w:t>太和广场</w:t>
            </w:r>
          </w:p>
        </w:tc>
        <w:tc>
          <w:tcPr>
            <w:tcW w:w="5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left"/>
              <w:textAlignment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eastAsia="zh-CN"/>
              </w:rPr>
              <w:t>太和广场位于正塘坡路和芙蓉南路交汇处，左倚省政府、“三馆一中心”，右临天心区政府。项目规划建筑总面积 112246余平米，地上由 A 、B 区和裙楼构成。因资金原因，项目于</w:t>
            </w:r>
            <w:r>
              <w:rPr>
                <w:rFonts w:hint="eastAsia" w:ascii="仿宋_GB2312" w:hAnsi="仿宋_GB2312" w:eastAsia="仿宋_GB2312" w:cs="仿宋_GB2312"/>
                <w:color w:val="000000"/>
                <w:kern w:val="0"/>
                <w:sz w:val="24"/>
                <w:szCs w:val="24"/>
                <w:lang w:val="en-US" w:eastAsia="zh-CN"/>
              </w:rPr>
              <w:t>2015年9月停工至今，物业</w:t>
            </w:r>
            <w:r>
              <w:rPr>
                <w:rFonts w:hint="eastAsia" w:ascii="仿宋_GB2312" w:hAnsi="仿宋_GB2312" w:eastAsia="仿宋_GB2312" w:cs="仿宋_GB2312"/>
                <w:color w:val="000000"/>
                <w:kern w:val="0"/>
                <w:sz w:val="24"/>
                <w:szCs w:val="24"/>
                <w:lang w:eastAsia="zh-CN"/>
              </w:rPr>
              <w:t>初步规划为高端酒店和写字楼。目前，项目正面向全社会公开招募战略投资人。</w:t>
            </w:r>
          </w:p>
        </w:tc>
        <w:tc>
          <w:tcPr>
            <w:tcW w:w="2329"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lang w:eastAsia="zh-CN"/>
              </w:rPr>
              <w:t>项目整体112246余平米</w:t>
            </w:r>
          </w:p>
        </w:tc>
      </w:tr>
      <w:tr>
        <w:tblPrEx>
          <w:tblLayout w:type="fixed"/>
          <w:tblCellMar>
            <w:top w:w="15" w:type="dxa"/>
            <w:left w:w="15" w:type="dxa"/>
            <w:bottom w:w="15" w:type="dxa"/>
            <w:right w:w="15" w:type="dxa"/>
          </w:tblCellMar>
        </w:tblPrEx>
        <w:trPr>
          <w:trHeight w:val="1855" w:hRule="atLeast"/>
          <w:jc w:val="center"/>
        </w:trPr>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8</w:t>
            </w:r>
          </w:p>
        </w:tc>
        <w:tc>
          <w:tcPr>
            <w:tcW w:w="1376"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鑫远国际大厦</w:t>
            </w:r>
          </w:p>
        </w:tc>
        <w:tc>
          <w:tcPr>
            <w:tcW w:w="5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left"/>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鑫远国际大厦位于湘府西路与新姚路交汇处西南角，物业总面积约为6万平米。分为A、B、C三栋标准甲级写字楼。项目定位为大型企业事业单位、金融机构、总部企业办公场所。</w:t>
            </w:r>
          </w:p>
        </w:tc>
        <w:tc>
          <w:tcPr>
            <w:tcW w:w="2329"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约8882平米（含裙楼）</w:t>
            </w:r>
          </w:p>
          <w:p>
            <w:pPr>
              <w:widowControl/>
              <w:spacing w:line="560" w:lineRule="exact"/>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主要分布在A座1、2、3、5、6楼</w:t>
            </w:r>
          </w:p>
        </w:tc>
      </w:tr>
      <w:tr>
        <w:tblPrEx>
          <w:tblLayout w:type="fixed"/>
          <w:tblCellMar>
            <w:top w:w="15" w:type="dxa"/>
            <w:left w:w="15" w:type="dxa"/>
            <w:bottom w:w="15" w:type="dxa"/>
            <w:right w:w="15" w:type="dxa"/>
          </w:tblCellMar>
        </w:tblPrEx>
        <w:trPr>
          <w:trHeight w:val="2710" w:hRule="atLeast"/>
          <w:jc w:val="center"/>
        </w:trPr>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9</w:t>
            </w:r>
          </w:p>
        </w:tc>
        <w:tc>
          <w:tcPr>
            <w:tcW w:w="1376"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文化（广告）产业园</w:t>
            </w:r>
          </w:p>
        </w:tc>
        <w:tc>
          <w:tcPr>
            <w:tcW w:w="5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left"/>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文化（广告）产业园位于黑石铺街道九峰村，黑梨路（雀园路）两厢，总占地面积450亩，创谷核心园区招商总面积159030.21平米，项目定位为“科技孵化园区、人才聚集的洼地、广告产业的基地、文化创意的高地、创业创新的福地”。</w:t>
            </w:r>
          </w:p>
        </w:tc>
        <w:tc>
          <w:tcPr>
            <w:tcW w:w="2329"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约40830平米</w:t>
            </w:r>
          </w:p>
          <w:p>
            <w:pPr>
              <w:widowControl/>
              <w:spacing w:line="560" w:lineRule="exact"/>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其中空置较多的是主楼26000平米左右，B2栋8700平米左右</w:t>
            </w:r>
          </w:p>
        </w:tc>
      </w:tr>
      <w:tr>
        <w:tblPrEx>
          <w:tblLayout w:type="fixed"/>
          <w:tblCellMar>
            <w:top w:w="15" w:type="dxa"/>
            <w:left w:w="15" w:type="dxa"/>
            <w:bottom w:w="15" w:type="dxa"/>
            <w:right w:w="15" w:type="dxa"/>
          </w:tblCellMar>
        </w:tblPrEx>
        <w:trPr>
          <w:trHeight w:val="1532" w:hRule="atLeast"/>
          <w:jc w:val="center"/>
        </w:trPr>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10</w:t>
            </w:r>
          </w:p>
        </w:tc>
        <w:tc>
          <w:tcPr>
            <w:tcW w:w="1376"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鑫悦汇广场（湖南长沙人力资源服务产业园）</w:t>
            </w:r>
          </w:p>
        </w:tc>
        <w:tc>
          <w:tcPr>
            <w:tcW w:w="5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left"/>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鑫悦汇广场位于芙蓉南路、中意路与新开铺路交汇处，总面积56万平米。商业定位定向型、品质型、家庭型消费群体，写字楼定位为定制型、创意型办公环境。</w:t>
            </w:r>
          </w:p>
        </w:tc>
        <w:tc>
          <w:tcPr>
            <w:tcW w:w="2329"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约14000平米</w:t>
            </w:r>
          </w:p>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主要分布在A栋6-12楼、B栋10楼、C栋6、8、11楼</w:t>
            </w:r>
          </w:p>
        </w:tc>
      </w:tr>
      <w:tr>
        <w:tblPrEx>
          <w:tblLayout w:type="fixed"/>
          <w:tblCellMar>
            <w:top w:w="15" w:type="dxa"/>
            <w:left w:w="15" w:type="dxa"/>
            <w:bottom w:w="15" w:type="dxa"/>
            <w:right w:w="15" w:type="dxa"/>
          </w:tblCellMar>
        </w:tblPrEx>
        <w:trPr>
          <w:trHeight w:val="1532" w:hRule="atLeast"/>
          <w:jc w:val="center"/>
        </w:trPr>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1</w:t>
            </w:r>
            <w:r>
              <w:rPr>
                <w:rFonts w:hint="eastAsia" w:ascii="仿宋_GB2312" w:hAnsi="仿宋_GB2312" w:eastAsia="仿宋_GB2312" w:cs="仿宋_GB2312"/>
                <w:color w:val="000000"/>
                <w:kern w:val="0"/>
                <w:sz w:val="24"/>
                <w:szCs w:val="24"/>
                <w:lang w:val="en-US" w:eastAsia="zh-CN"/>
              </w:rPr>
              <w:t>1</w:t>
            </w:r>
          </w:p>
        </w:tc>
        <w:tc>
          <w:tcPr>
            <w:tcW w:w="1376"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中南总部基地</w:t>
            </w:r>
          </w:p>
        </w:tc>
        <w:tc>
          <w:tcPr>
            <w:tcW w:w="5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left"/>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中南总部基地位于万家丽南路北50米，由湖南九纬高新技术有限公司投资，以科技型中小企业为服务对象，为入孵企业提供研发、中试生产、经营场地和办公方面的共享设施。</w:t>
            </w:r>
          </w:p>
        </w:tc>
        <w:tc>
          <w:tcPr>
            <w:tcW w:w="2329"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约20170平米</w:t>
            </w:r>
          </w:p>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主要分布在1-5楼；另有两栋面积分别不到3100平米的独栋</w:t>
            </w:r>
          </w:p>
        </w:tc>
      </w:tr>
      <w:tr>
        <w:tblPrEx>
          <w:tblLayout w:type="fixed"/>
          <w:tblCellMar>
            <w:top w:w="15" w:type="dxa"/>
            <w:left w:w="15" w:type="dxa"/>
            <w:bottom w:w="15" w:type="dxa"/>
            <w:right w:w="15" w:type="dxa"/>
          </w:tblCellMar>
        </w:tblPrEx>
        <w:trPr>
          <w:trHeight w:val="1532" w:hRule="atLeast"/>
          <w:jc w:val="center"/>
        </w:trPr>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1</w:t>
            </w:r>
            <w:r>
              <w:rPr>
                <w:rFonts w:hint="eastAsia" w:ascii="仿宋_GB2312" w:hAnsi="仿宋_GB2312" w:eastAsia="仿宋_GB2312" w:cs="仿宋_GB2312"/>
                <w:color w:val="000000"/>
                <w:kern w:val="0"/>
                <w:sz w:val="24"/>
                <w:szCs w:val="24"/>
                <w:lang w:val="en-US" w:eastAsia="zh-CN"/>
              </w:rPr>
              <w:t>2</w:t>
            </w:r>
          </w:p>
        </w:tc>
        <w:tc>
          <w:tcPr>
            <w:tcW w:w="1376"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丽发商业大厦</w:t>
            </w:r>
          </w:p>
        </w:tc>
        <w:tc>
          <w:tcPr>
            <w:tcW w:w="5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left"/>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丽发商业大厦位于万家丽路与韶山路延长线交汇处东南角。总体量约10万平米。-1至5层为裙楼，6-12层为酒店。项目拟打造为集行政办公、休闲娱乐为一体的城市综合体。</w:t>
            </w:r>
          </w:p>
        </w:tc>
        <w:tc>
          <w:tcPr>
            <w:tcW w:w="2329"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约43000平米</w:t>
            </w:r>
          </w:p>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分布在13-17楼</w:t>
            </w:r>
          </w:p>
        </w:tc>
      </w:tr>
      <w:tr>
        <w:tblPrEx>
          <w:tblLayout w:type="fixed"/>
          <w:tblCellMar>
            <w:top w:w="15" w:type="dxa"/>
            <w:left w:w="15" w:type="dxa"/>
            <w:bottom w:w="15" w:type="dxa"/>
            <w:right w:w="15" w:type="dxa"/>
          </w:tblCellMar>
        </w:tblPrEx>
        <w:trPr>
          <w:trHeight w:val="2295" w:hRule="atLeast"/>
          <w:jc w:val="center"/>
        </w:trPr>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1</w:t>
            </w:r>
            <w:r>
              <w:rPr>
                <w:rFonts w:hint="eastAsia" w:ascii="仿宋_GB2312" w:hAnsi="仿宋_GB2312" w:eastAsia="仿宋_GB2312" w:cs="仿宋_GB2312"/>
                <w:color w:val="000000"/>
                <w:kern w:val="0"/>
                <w:sz w:val="24"/>
                <w:szCs w:val="24"/>
                <w:lang w:val="en-US" w:eastAsia="zh-CN"/>
              </w:rPr>
              <w:t>3</w:t>
            </w:r>
          </w:p>
        </w:tc>
        <w:tc>
          <w:tcPr>
            <w:tcW w:w="1376"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德泽苑（地理信息产业园）</w:t>
            </w:r>
          </w:p>
        </w:tc>
        <w:tc>
          <w:tcPr>
            <w:tcW w:w="5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left"/>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德泽苑位于万家丽路与芙蓉南路交汇处，建筑面积50000平米，其中地上12层、地下3层，分为A、B两座，每层3900-4000平米，A座为综合写字楼及酒店配套，B座为纯商务写字楼。</w:t>
            </w:r>
          </w:p>
        </w:tc>
        <w:tc>
          <w:tcPr>
            <w:tcW w:w="2329"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约8140平米（全部在谈）1楼，包括7000平米展厅和1140平米办公区域</w:t>
            </w:r>
          </w:p>
        </w:tc>
      </w:tr>
      <w:tr>
        <w:tblPrEx>
          <w:tblLayout w:type="fixed"/>
          <w:tblCellMar>
            <w:top w:w="15" w:type="dxa"/>
            <w:left w:w="15" w:type="dxa"/>
            <w:bottom w:w="15" w:type="dxa"/>
            <w:right w:w="15" w:type="dxa"/>
          </w:tblCellMar>
        </w:tblPrEx>
        <w:trPr>
          <w:trHeight w:val="1936" w:hRule="atLeast"/>
          <w:jc w:val="center"/>
        </w:trPr>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1</w:t>
            </w:r>
            <w:r>
              <w:rPr>
                <w:rFonts w:hint="eastAsia" w:ascii="仿宋_GB2312" w:hAnsi="仿宋_GB2312" w:eastAsia="仿宋_GB2312" w:cs="仿宋_GB2312"/>
                <w:color w:val="000000"/>
                <w:kern w:val="0"/>
                <w:sz w:val="24"/>
                <w:szCs w:val="24"/>
                <w:lang w:val="en-US" w:eastAsia="zh-CN"/>
              </w:rPr>
              <w:t>4</w:t>
            </w:r>
          </w:p>
        </w:tc>
        <w:tc>
          <w:tcPr>
            <w:tcW w:w="1376"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远航企业广场</w:t>
            </w:r>
          </w:p>
        </w:tc>
        <w:tc>
          <w:tcPr>
            <w:tcW w:w="562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left"/>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远航企业广场位于伊莱克斯大道18号，由湖南远航控股集团有限公司投资，项目总用地5万多平米，总建筑面积171883平米。拟规划建设两栋国际5A级办公楼、六栋生态立体产业楼。定位为电商、总部、文化、金融企业聚集地。</w:t>
            </w:r>
          </w:p>
        </w:tc>
        <w:tc>
          <w:tcPr>
            <w:tcW w:w="2329"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约10000平米</w:t>
            </w:r>
          </w:p>
          <w:p>
            <w:pPr>
              <w:widowControl/>
              <w:spacing w:line="560" w:lineRule="exact"/>
              <w:jc w:val="center"/>
              <w:textAlignment w:val="center"/>
              <w:rPr>
                <w:rFonts w:ascii="仿宋_GB2312" w:hAnsi="仿宋_GB2312" w:eastAsia="仿宋_GB2312" w:cs="仿宋_GB2312"/>
                <w:color w:val="FF0000"/>
                <w:sz w:val="24"/>
                <w:szCs w:val="24"/>
              </w:rPr>
            </w:pPr>
            <w:r>
              <w:rPr>
                <w:rFonts w:hint="eastAsia" w:ascii="仿宋_GB2312" w:hAnsi="仿宋_GB2312" w:eastAsia="仿宋_GB2312" w:cs="仿宋_GB2312"/>
                <w:color w:val="000000"/>
                <w:kern w:val="0"/>
                <w:sz w:val="24"/>
                <w:szCs w:val="24"/>
              </w:rPr>
              <w:t>集中在7、8楼</w:t>
            </w:r>
          </w:p>
        </w:tc>
      </w:tr>
    </w:tbl>
    <w:p>
      <w:pPr>
        <w:numPr>
          <w:ilvl w:val="0"/>
          <w:numId w:val="3"/>
        </w:numPr>
        <w:spacing w:line="560" w:lineRule="exact"/>
        <w:rPr>
          <w:rFonts w:hint="eastAsia" w:ascii="楷体" w:hAnsi="楷体" w:eastAsia="楷体"/>
          <w:color w:val="000000"/>
          <w:sz w:val="32"/>
          <w:szCs w:val="32"/>
          <w:lang w:val="zh-CN"/>
        </w:rPr>
      </w:pPr>
      <w:r>
        <w:rPr>
          <w:rFonts w:hint="eastAsia" w:ascii="楷体" w:hAnsi="楷体" w:eastAsia="楷体"/>
          <w:color w:val="000000"/>
          <w:sz w:val="32"/>
          <w:szCs w:val="32"/>
          <w:lang w:val="zh-CN"/>
        </w:rPr>
        <w:t>重点</w:t>
      </w:r>
      <w:r>
        <w:rPr>
          <w:rFonts w:hint="eastAsia" w:ascii="楷体" w:hAnsi="楷体" w:eastAsia="楷体"/>
          <w:color w:val="000000"/>
          <w:sz w:val="32"/>
          <w:szCs w:val="32"/>
        </w:rPr>
        <w:t>招商</w:t>
      </w:r>
      <w:r>
        <w:rPr>
          <w:rFonts w:hint="eastAsia" w:ascii="楷体" w:hAnsi="楷体" w:eastAsia="楷体"/>
          <w:color w:val="000000"/>
          <w:sz w:val="32"/>
          <w:szCs w:val="32"/>
          <w:lang w:val="zh-CN"/>
        </w:rPr>
        <w:t>地块</w:t>
      </w:r>
      <w:bookmarkEnd w:id="4"/>
    </w:p>
    <w:p>
      <w:pPr>
        <w:numPr>
          <w:ilvl w:val="0"/>
          <w:numId w:val="0"/>
        </w:numPr>
        <w:spacing w:line="560" w:lineRule="exact"/>
        <w:rPr>
          <w:rFonts w:ascii="仿宋_GB2312" w:hAnsi="黑体" w:eastAsia="仿宋_GB2312" w:cs="宋体"/>
          <w:bCs/>
          <w:sz w:val="32"/>
          <w:szCs w:val="32"/>
        </w:rPr>
      </w:pPr>
      <w:r>
        <w:rPr>
          <w:rFonts w:hint="eastAsia" w:ascii="仿宋_GB2312" w:hAnsi="仿宋" w:eastAsia="仿宋_GB2312" w:cs="宋体"/>
          <w:b/>
          <w:bCs/>
          <w:sz w:val="32"/>
          <w:szCs w:val="32"/>
        </w:rPr>
        <w:t>1、</w:t>
      </w:r>
      <w:r>
        <w:rPr>
          <w:rFonts w:hint="eastAsia" w:ascii="仿宋_GB2312" w:hAnsi="仿宋" w:eastAsia="仿宋_GB2312"/>
          <w:b/>
          <w:color w:val="000000"/>
          <w:sz w:val="32"/>
          <w:szCs w:val="32"/>
          <w:lang w:val="zh-CN"/>
        </w:rPr>
        <w:t>南湖公司地块</w:t>
      </w:r>
    </w:p>
    <w:tbl>
      <w:tblPr>
        <w:tblStyle w:val="7"/>
        <w:tblW w:w="9779" w:type="dxa"/>
        <w:jc w:val="center"/>
        <w:tblInd w:w="1215" w:type="dxa"/>
        <w:tblLayout w:type="fixed"/>
        <w:tblCellMar>
          <w:top w:w="15" w:type="dxa"/>
          <w:left w:w="15" w:type="dxa"/>
          <w:bottom w:w="15" w:type="dxa"/>
          <w:right w:w="15" w:type="dxa"/>
        </w:tblCellMar>
      </w:tblPr>
      <w:tblGrid>
        <w:gridCol w:w="872"/>
        <w:gridCol w:w="1423"/>
        <w:gridCol w:w="2498"/>
        <w:gridCol w:w="1925"/>
        <w:gridCol w:w="1480"/>
        <w:gridCol w:w="1581"/>
      </w:tblGrid>
      <w:tr>
        <w:tblPrEx>
          <w:tblLayout w:type="fixed"/>
          <w:tblCellMar>
            <w:top w:w="15" w:type="dxa"/>
            <w:left w:w="15" w:type="dxa"/>
            <w:bottom w:w="15" w:type="dxa"/>
            <w:right w:w="15" w:type="dxa"/>
          </w:tblCellMar>
        </w:tblPrEx>
        <w:trPr>
          <w:trHeight w:val="613" w:hRule="atLeast"/>
          <w:tblHeader/>
          <w:jc w:val="center"/>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kern w:val="0"/>
                <w:sz w:val="24"/>
                <w:szCs w:val="24"/>
              </w:rPr>
            </w:pPr>
            <w:r>
              <w:rPr>
                <w:rFonts w:hint="eastAsia" w:ascii="黑体" w:hAnsi="黑体" w:eastAsia="黑体" w:cs="仿宋_GB2312"/>
                <w:color w:val="000000"/>
                <w:kern w:val="0"/>
                <w:sz w:val="24"/>
                <w:szCs w:val="24"/>
              </w:rPr>
              <w:t>序号</w:t>
            </w:r>
          </w:p>
        </w:tc>
        <w:tc>
          <w:tcPr>
            <w:tcW w:w="1423"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sz w:val="24"/>
                <w:szCs w:val="24"/>
              </w:rPr>
            </w:pPr>
            <w:r>
              <w:rPr>
                <w:rFonts w:hint="eastAsia" w:ascii="黑体" w:hAnsi="黑体" w:eastAsia="黑体" w:cs="仿宋_GB2312"/>
                <w:color w:val="000000"/>
                <w:kern w:val="0"/>
                <w:sz w:val="24"/>
                <w:szCs w:val="24"/>
              </w:rPr>
              <w:t>地块名称</w:t>
            </w:r>
          </w:p>
        </w:tc>
        <w:tc>
          <w:tcPr>
            <w:tcW w:w="249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sz w:val="24"/>
                <w:szCs w:val="24"/>
              </w:rPr>
            </w:pPr>
            <w:r>
              <w:rPr>
                <w:rFonts w:hint="eastAsia" w:ascii="黑体" w:hAnsi="黑体" w:eastAsia="黑体" w:cs="仿宋_GB2312"/>
                <w:color w:val="000000"/>
                <w:kern w:val="0"/>
                <w:sz w:val="24"/>
                <w:szCs w:val="24"/>
              </w:rPr>
              <w:t>地块范围</w:t>
            </w:r>
          </w:p>
        </w:tc>
        <w:tc>
          <w:tcPr>
            <w:tcW w:w="192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sz w:val="24"/>
                <w:szCs w:val="24"/>
              </w:rPr>
            </w:pPr>
            <w:r>
              <w:rPr>
                <w:rFonts w:hint="eastAsia" w:ascii="黑体" w:hAnsi="黑体" w:eastAsia="黑体" w:cs="仿宋_GB2312"/>
                <w:color w:val="000000"/>
                <w:kern w:val="0"/>
                <w:sz w:val="24"/>
                <w:szCs w:val="24"/>
              </w:rPr>
              <w:t>地块指标</w:t>
            </w:r>
          </w:p>
        </w:tc>
        <w:tc>
          <w:tcPr>
            <w:tcW w:w="148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kern w:val="0"/>
                <w:sz w:val="24"/>
                <w:szCs w:val="24"/>
              </w:rPr>
            </w:pPr>
            <w:r>
              <w:rPr>
                <w:rFonts w:hint="eastAsia" w:ascii="黑体" w:hAnsi="黑体" w:eastAsia="黑体" w:cs="仿宋_GB2312"/>
                <w:color w:val="000000"/>
                <w:kern w:val="0"/>
                <w:sz w:val="24"/>
                <w:szCs w:val="24"/>
              </w:rPr>
              <w:t>地块定位</w:t>
            </w:r>
          </w:p>
        </w:tc>
        <w:tc>
          <w:tcPr>
            <w:tcW w:w="1581"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kern w:val="0"/>
                <w:sz w:val="24"/>
                <w:szCs w:val="24"/>
              </w:rPr>
            </w:pPr>
            <w:r>
              <w:rPr>
                <w:rFonts w:hint="eastAsia" w:ascii="黑体" w:hAnsi="黑体" w:eastAsia="黑体" w:cs="仿宋_GB2312"/>
                <w:color w:val="000000"/>
                <w:kern w:val="0"/>
                <w:sz w:val="24"/>
                <w:szCs w:val="24"/>
              </w:rPr>
              <w:t>地块现状</w:t>
            </w:r>
          </w:p>
        </w:tc>
      </w:tr>
      <w:tr>
        <w:tblPrEx>
          <w:tblLayout w:type="fixed"/>
          <w:tblCellMar>
            <w:top w:w="15" w:type="dxa"/>
            <w:left w:w="15" w:type="dxa"/>
            <w:bottom w:w="15" w:type="dxa"/>
            <w:right w:w="15" w:type="dxa"/>
          </w:tblCellMar>
        </w:tblPrEx>
        <w:trPr>
          <w:trHeight w:val="1680" w:hRule="atLeast"/>
          <w:jc w:val="center"/>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1423"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7号地块南</w:t>
            </w:r>
          </w:p>
        </w:tc>
        <w:tc>
          <w:tcPr>
            <w:tcW w:w="249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富通路以北，华融湘江银行项目以南，湘江大道以东，书院路以西</w:t>
            </w:r>
          </w:p>
        </w:tc>
        <w:tc>
          <w:tcPr>
            <w:tcW w:w="192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净用地面积约32.83亩，容积率6.0，商业用地</w:t>
            </w:r>
          </w:p>
        </w:tc>
        <w:tc>
          <w:tcPr>
            <w:tcW w:w="148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企业总部大楼和5A级专业商务写字楼。</w:t>
            </w:r>
          </w:p>
        </w:tc>
        <w:tc>
          <w:tcPr>
            <w:tcW w:w="1581"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hint="eastAsia" w:ascii="仿宋_GB2312" w:hAnsi="宋体" w:eastAsia="仿宋_GB2312" w:cs="宋体"/>
                <w:color w:val="000000"/>
                <w:kern w:val="0"/>
                <w:sz w:val="24"/>
                <w:szCs w:val="24"/>
                <w:lang w:val="en-US" w:eastAsia="zh-CN"/>
              </w:rPr>
            </w:pPr>
            <w:r>
              <w:rPr>
                <w:rFonts w:hint="eastAsia" w:ascii="仿宋_GB2312" w:hAnsi="宋体" w:eastAsia="仿宋_GB2312" w:cs="宋体"/>
                <w:color w:val="000000"/>
                <w:kern w:val="0"/>
                <w:sz w:val="24"/>
                <w:szCs w:val="24"/>
                <w:lang w:eastAsia="zh-CN"/>
              </w:rPr>
              <w:t>已过土委会，预计</w:t>
            </w:r>
            <w:r>
              <w:rPr>
                <w:rFonts w:hint="eastAsia" w:ascii="仿宋_GB2312" w:hAnsi="宋体" w:eastAsia="仿宋_GB2312" w:cs="宋体"/>
                <w:color w:val="000000"/>
                <w:kern w:val="0"/>
                <w:sz w:val="24"/>
                <w:szCs w:val="24"/>
                <w:lang w:val="en-US" w:eastAsia="zh-CN"/>
              </w:rPr>
              <w:t>2019年上半年挂牌</w:t>
            </w:r>
          </w:p>
        </w:tc>
      </w:tr>
      <w:tr>
        <w:tblPrEx>
          <w:tblLayout w:type="fixed"/>
          <w:tblCellMar>
            <w:top w:w="15" w:type="dxa"/>
            <w:left w:w="15" w:type="dxa"/>
            <w:bottom w:w="15" w:type="dxa"/>
            <w:right w:w="15" w:type="dxa"/>
          </w:tblCellMar>
        </w:tblPrEx>
        <w:trPr>
          <w:trHeight w:val="1680" w:hRule="atLeast"/>
          <w:jc w:val="center"/>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1423"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C-05南地块</w:t>
            </w:r>
          </w:p>
        </w:tc>
        <w:tc>
          <w:tcPr>
            <w:tcW w:w="249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水厂路以北、平安不动产项目以南、湘江大道以东、新基项目以西</w:t>
            </w:r>
          </w:p>
        </w:tc>
        <w:tc>
          <w:tcPr>
            <w:tcW w:w="192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净用地面积约13.13亩，容积率5.0，商业用地</w:t>
            </w:r>
          </w:p>
        </w:tc>
        <w:tc>
          <w:tcPr>
            <w:tcW w:w="148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金融商务楼宇</w:t>
            </w:r>
          </w:p>
        </w:tc>
        <w:tc>
          <w:tcPr>
            <w:tcW w:w="1581"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已完成拆迁腾地</w:t>
            </w:r>
          </w:p>
        </w:tc>
      </w:tr>
      <w:tr>
        <w:tblPrEx>
          <w:tblLayout w:type="fixed"/>
          <w:tblCellMar>
            <w:top w:w="15" w:type="dxa"/>
            <w:left w:w="15" w:type="dxa"/>
            <w:bottom w:w="15" w:type="dxa"/>
            <w:right w:w="15" w:type="dxa"/>
          </w:tblCellMar>
        </w:tblPrEx>
        <w:trPr>
          <w:trHeight w:val="1680" w:hRule="atLeast"/>
          <w:jc w:val="center"/>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1423"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24号地块</w:t>
            </w:r>
          </w:p>
        </w:tc>
        <w:tc>
          <w:tcPr>
            <w:tcW w:w="249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位于规划中新城路以北，殷家冲路以南，湘江大道以东，规划中新城路以西。</w:t>
            </w:r>
          </w:p>
        </w:tc>
        <w:tc>
          <w:tcPr>
            <w:tcW w:w="192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净用地面积约251.4亩，容积率2.5、3.2，商住用地</w:t>
            </w:r>
          </w:p>
        </w:tc>
        <w:tc>
          <w:tcPr>
            <w:tcW w:w="148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大型综合项目开发</w:t>
            </w:r>
          </w:p>
        </w:tc>
        <w:tc>
          <w:tcPr>
            <w:tcW w:w="1581"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已完成拆迁腾地，预计2019年可挂牌</w:t>
            </w:r>
          </w:p>
        </w:tc>
      </w:tr>
      <w:tr>
        <w:tblPrEx>
          <w:tblLayout w:type="fixed"/>
          <w:tblCellMar>
            <w:top w:w="15" w:type="dxa"/>
            <w:left w:w="15" w:type="dxa"/>
            <w:bottom w:w="15" w:type="dxa"/>
            <w:right w:w="15" w:type="dxa"/>
          </w:tblCellMar>
        </w:tblPrEx>
        <w:trPr>
          <w:trHeight w:val="1680" w:hRule="atLeast"/>
          <w:jc w:val="center"/>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1423"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汽车喇叭厂地块</w:t>
            </w:r>
          </w:p>
        </w:tc>
        <w:tc>
          <w:tcPr>
            <w:tcW w:w="249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三合公寓以北、都江路以南、君合天玺项目以东、书院路以西</w:t>
            </w:r>
          </w:p>
        </w:tc>
        <w:tc>
          <w:tcPr>
            <w:tcW w:w="192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净用地面积约13.15亩，容积率4.5，商住用地</w:t>
            </w:r>
          </w:p>
        </w:tc>
        <w:tc>
          <w:tcPr>
            <w:tcW w:w="148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宜商宜居现代化城市综合体</w:t>
            </w:r>
          </w:p>
        </w:tc>
        <w:tc>
          <w:tcPr>
            <w:tcW w:w="1581"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lang w:eastAsia="zh-CN"/>
              </w:rPr>
              <w:t>已过土委会</w:t>
            </w:r>
            <w:r>
              <w:rPr>
                <w:rFonts w:hint="eastAsia" w:ascii="仿宋_GB2312" w:hAnsi="宋体" w:eastAsia="仿宋_GB2312" w:cs="宋体"/>
                <w:color w:val="000000"/>
                <w:kern w:val="0"/>
                <w:sz w:val="24"/>
                <w:szCs w:val="24"/>
              </w:rPr>
              <w:t>，预计2019年挂牌</w:t>
            </w:r>
          </w:p>
        </w:tc>
      </w:tr>
    </w:tbl>
    <w:p>
      <w:pPr>
        <w:spacing w:beforeLines="50" w:afterLines="50" w:line="560" w:lineRule="exact"/>
        <w:ind w:firstLine="630" w:firstLineChars="196"/>
        <w:rPr>
          <w:rFonts w:ascii="仿宋_GB2312" w:hAnsi="仿宋" w:eastAsia="仿宋_GB2312" w:cs="宋体"/>
          <w:b/>
          <w:bCs/>
          <w:sz w:val="32"/>
          <w:szCs w:val="32"/>
        </w:rPr>
      </w:pPr>
      <w:r>
        <w:rPr>
          <w:rFonts w:hint="eastAsia" w:ascii="仿宋_GB2312" w:hAnsi="仿宋" w:eastAsia="仿宋_GB2312" w:cs="宋体"/>
          <w:b/>
          <w:bCs/>
          <w:sz w:val="32"/>
          <w:szCs w:val="32"/>
        </w:rPr>
        <w:t>2、城投公司地块</w:t>
      </w:r>
    </w:p>
    <w:tbl>
      <w:tblPr>
        <w:tblStyle w:val="7"/>
        <w:tblW w:w="9819" w:type="dxa"/>
        <w:jc w:val="center"/>
        <w:tblInd w:w="1266" w:type="dxa"/>
        <w:tblLayout w:type="fixed"/>
        <w:tblCellMar>
          <w:top w:w="15" w:type="dxa"/>
          <w:left w:w="15" w:type="dxa"/>
          <w:bottom w:w="15" w:type="dxa"/>
          <w:right w:w="15" w:type="dxa"/>
        </w:tblCellMar>
      </w:tblPr>
      <w:tblGrid>
        <w:gridCol w:w="890"/>
        <w:gridCol w:w="1410"/>
        <w:gridCol w:w="2565"/>
        <w:gridCol w:w="1875"/>
        <w:gridCol w:w="1464"/>
        <w:gridCol w:w="1615"/>
      </w:tblGrid>
      <w:tr>
        <w:tblPrEx>
          <w:tblLayout w:type="fixed"/>
          <w:tblCellMar>
            <w:top w:w="15" w:type="dxa"/>
            <w:left w:w="15" w:type="dxa"/>
            <w:bottom w:w="15" w:type="dxa"/>
            <w:right w:w="15" w:type="dxa"/>
          </w:tblCellMar>
        </w:tblPrEx>
        <w:trPr>
          <w:trHeight w:val="613" w:hRule="atLeast"/>
          <w:tblHeader/>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kern w:val="0"/>
                <w:sz w:val="24"/>
                <w:szCs w:val="24"/>
              </w:rPr>
            </w:pPr>
            <w:r>
              <w:rPr>
                <w:rFonts w:hint="eastAsia" w:ascii="黑体" w:hAnsi="黑体" w:eastAsia="黑体" w:cs="仿宋_GB2312"/>
                <w:color w:val="000000"/>
                <w:kern w:val="0"/>
                <w:sz w:val="24"/>
                <w:szCs w:val="24"/>
              </w:rPr>
              <w:t>序号</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sz w:val="24"/>
                <w:szCs w:val="24"/>
              </w:rPr>
            </w:pPr>
            <w:r>
              <w:rPr>
                <w:rFonts w:hint="eastAsia" w:ascii="黑体" w:hAnsi="黑体" w:eastAsia="黑体" w:cs="仿宋_GB2312"/>
                <w:color w:val="000000"/>
                <w:kern w:val="0"/>
                <w:sz w:val="24"/>
                <w:szCs w:val="24"/>
              </w:rPr>
              <w:t>地块名称</w:t>
            </w:r>
          </w:p>
        </w:tc>
        <w:tc>
          <w:tcPr>
            <w:tcW w:w="256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sz w:val="24"/>
                <w:szCs w:val="24"/>
              </w:rPr>
            </w:pPr>
            <w:r>
              <w:rPr>
                <w:rFonts w:hint="eastAsia" w:ascii="黑体" w:hAnsi="黑体" w:eastAsia="黑体" w:cs="仿宋_GB2312"/>
                <w:color w:val="000000"/>
                <w:kern w:val="0"/>
                <w:sz w:val="24"/>
                <w:szCs w:val="24"/>
              </w:rPr>
              <w:t>地块范围</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sz w:val="24"/>
                <w:szCs w:val="24"/>
              </w:rPr>
            </w:pPr>
            <w:r>
              <w:rPr>
                <w:rFonts w:hint="eastAsia" w:ascii="黑体" w:hAnsi="黑体" w:eastAsia="黑体" w:cs="仿宋_GB2312"/>
                <w:color w:val="000000"/>
                <w:kern w:val="0"/>
                <w:sz w:val="24"/>
                <w:szCs w:val="24"/>
              </w:rPr>
              <w:t>地块指标</w:t>
            </w:r>
          </w:p>
        </w:tc>
        <w:tc>
          <w:tcPr>
            <w:tcW w:w="1464"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kern w:val="0"/>
                <w:sz w:val="24"/>
                <w:szCs w:val="24"/>
              </w:rPr>
            </w:pPr>
            <w:r>
              <w:rPr>
                <w:rFonts w:hint="eastAsia" w:ascii="黑体" w:hAnsi="黑体" w:eastAsia="黑体" w:cs="仿宋_GB2312"/>
                <w:color w:val="000000"/>
                <w:kern w:val="0"/>
                <w:sz w:val="24"/>
                <w:szCs w:val="24"/>
              </w:rPr>
              <w:t>地块定位</w:t>
            </w:r>
          </w:p>
        </w:tc>
        <w:tc>
          <w:tcPr>
            <w:tcW w:w="161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kern w:val="0"/>
                <w:sz w:val="24"/>
                <w:szCs w:val="24"/>
              </w:rPr>
            </w:pPr>
            <w:r>
              <w:rPr>
                <w:rFonts w:hint="eastAsia" w:ascii="黑体" w:hAnsi="黑体" w:eastAsia="黑体" w:cs="仿宋_GB2312"/>
                <w:color w:val="000000"/>
                <w:kern w:val="0"/>
                <w:sz w:val="24"/>
                <w:szCs w:val="24"/>
              </w:rPr>
              <w:t>地块现状</w:t>
            </w:r>
          </w:p>
        </w:tc>
      </w:tr>
      <w:tr>
        <w:tblPrEx>
          <w:tblLayout w:type="fixed"/>
          <w:tblCellMar>
            <w:top w:w="15" w:type="dxa"/>
            <w:left w:w="15" w:type="dxa"/>
            <w:bottom w:w="15" w:type="dxa"/>
            <w:right w:w="15" w:type="dxa"/>
          </w:tblCellMar>
        </w:tblPrEx>
        <w:trPr>
          <w:trHeight w:val="112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4号地</w:t>
            </w:r>
          </w:p>
        </w:tc>
        <w:tc>
          <w:tcPr>
            <w:tcW w:w="256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炮兵学院以北、黑石路以南、钢丝厂以东、九峰路以西</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净用地面积约206.53亩，容积率1.4，商住用地</w:t>
            </w:r>
          </w:p>
        </w:tc>
        <w:tc>
          <w:tcPr>
            <w:tcW w:w="1464"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大型综合项目开发</w:t>
            </w:r>
          </w:p>
        </w:tc>
        <w:tc>
          <w:tcPr>
            <w:tcW w:w="161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eastAsia="仿宋_GB2312"/>
                <w:sz w:val="24"/>
                <w:szCs w:val="24"/>
              </w:rPr>
              <w:t>已划红线办证,需调规、拆迁</w:t>
            </w:r>
          </w:p>
        </w:tc>
      </w:tr>
      <w:tr>
        <w:tblPrEx>
          <w:tblLayout w:type="fixed"/>
          <w:tblCellMar>
            <w:top w:w="15" w:type="dxa"/>
            <w:left w:w="15" w:type="dxa"/>
            <w:bottom w:w="15" w:type="dxa"/>
            <w:right w:w="15" w:type="dxa"/>
          </w:tblCellMar>
        </w:tblPrEx>
        <w:trPr>
          <w:trHeight w:val="112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5号地</w:t>
            </w:r>
          </w:p>
        </w:tc>
        <w:tc>
          <w:tcPr>
            <w:tcW w:w="256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新昌路以南、黑石路以北、书院路以东、新联路以西</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净用地面积约111.64亩，容积率1.4、1.8，商住用地</w:t>
            </w:r>
          </w:p>
        </w:tc>
        <w:tc>
          <w:tcPr>
            <w:tcW w:w="1464"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城市商住综合体</w:t>
            </w:r>
          </w:p>
        </w:tc>
        <w:tc>
          <w:tcPr>
            <w:tcW w:w="161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已划红线办证,需调规、拆迁</w:t>
            </w:r>
          </w:p>
        </w:tc>
      </w:tr>
      <w:tr>
        <w:tblPrEx>
          <w:tblLayout w:type="fixed"/>
          <w:tblCellMar>
            <w:top w:w="15" w:type="dxa"/>
            <w:left w:w="15" w:type="dxa"/>
            <w:bottom w:w="15" w:type="dxa"/>
            <w:right w:w="15" w:type="dxa"/>
          </w:tblCellMar>
        </w:tblPrEx>
        <w:trPr>
          <w:trHeight w:val="112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6号地</w:t>
            </w:r>
          </w:p>
        </w:tc>
        <w:tc>
          <w:tcPr>
            <w:tcW w:w="256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黑梨路以南，三环立交线以西</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净用地面积42亩，容积率2.5，商业用地</w:t>
            </w:r>
          </w:p>
        </w:tc>
        <w:tc>
          <w:tcPr>
            <w:tcW w:w="1464"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专业商务写字楼</w:t>
            </w:r>
          </w:p>
        </w:tc>
        <w:tc>
          <w:tcPr>
            <w:tcW w:w="161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已划红线办证,需调规、拆迁</w:t>
            </w:r>
          </w:p>
        </w:tc>
      </w:tr>
      <w:tr>
        <w:tblPrEx>
          <w:tblLayout w:type="fixed"/>
          <w:tblCellMar>
            <w:top w:w="15" w:type="dxa"/>
            <w:left w:w="15" w:type="dxa"/>
            <w:bottom w:w="15" w:type="dxa"/>
            <w:right w:w="15" w:type="dxa"/>
          </w:tblCellMar>
        </w:tblPrEx>
        <w:trPr>
          <w:trHeight w:val="112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10号地</w:t>
            </w:r>
          </w:p>
        </w:tc>
        <w:tc>
          <w:tcPr>
            <w:tcW w:w="256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广州军区空十八师以北、书院路以西、披塘村以南</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净用地面积约157.34亩，容积率1.4，住宅用地</w:t>
            </w:r>
          </w:p>
        </w:tc>
        <w:tc>
          <w:tcPr>
            <w:tcW w:w="1464"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大型现代化住宅</w:t>
            </w:r>
          </w:p>
        </w:tc>
        <w:tc>
          <w:tcPr>
            <w:tcW w:w="161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已划红线办证,需调规、拆迁</w:t>
            </w:r>
          </w:p>
        </w:tc>
      </w:tr>
      <w:tr>
        <w:tblPrEx>
          <w:tblLayout w:type="fixed"/>
        </w:tblPrEx>
        <w:trPr>
          <w:trHeight w:val="112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11号地</w:t>
            </w:r>
          </w:p>
        </w:tc>
        <w:tc>
          <w:tcPr>
            <w:tcW w:w="256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五号地以西、书院路以东、肉联厂以南、新昌路以北</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净用地面积约17.04亩，容积率1.4，住宅用地</w:t>
            </w:r>
          </w:p>
        </w:tc>
        <w:tc>
          <w:tcPr>
            <w:tcW w:w="1464"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宜居现代化住宅</w:t>
            </w:r>
          </w:p>
        </w:tc>
        <w:tc>
          <w:tcPr>
            <w:tcW w:w="161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已划红线办证,需调规、拆迁</w:t>
            </w:r>
          </w:p>
        </w:tc>
      </w:tr>
      <w:tr>
        <w:tblPrEx>
          <w:tblLayout w:type="fixed"/>
          <w:tblCellMar>
            <w:top w:w="15" w:type="dxa"/>
            <w:left w:w="15" w:type="dxa"/>
            <w:bottom w:w="15" w:type="dxa"/>
            <w:right w:w="15" w:type="dxa"/>
          </w:tblCellMar>
        </w:tblPrEx>
        <w:trPr>
          <w:trHeight w:val="112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12号地</w:t>
            </w:r>
          </w:p>
        </w:tc>
        <w:tc>
          <w:tcPr>
            <w:tcW w:w="256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新谷路以北、长沙卷烟厂以南、长沙贤盛发科技公司以东</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净用地面积约103.73亩，容积率1.8，仓储用地</w:t>
            </w:r>
          </w:p>
        </w:tc>
        <w:tc>
          <w:tcPr>
            <w:tcW w:w="1464"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颐养商住项目</w:t>
            </w:r>
          </w:p>
        </w:tc>
        <w:tc>
          <w:tcPr>
            <w:tcW w:w="161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完成预征待转征，需调规、拆迁</w:t>
            </w:r>
          </w:p>
        </w:tc>
      </w:tr>
      <w:tr>
        <w:tblPrEx>
          <w:tblLayout w:type="fixed"/>
          <w:tblCellMar>
            <w:top w:w="15" w:type="dxa"/>
            <w:left w:w="15" w:type="dxa"/>
            <w:bottom w:w="15" w:type="dxa"/>
            <w:right w:w="15" w:type="dxa"/>
          </w:tblCellMar>
        </w:tblPrEx>
        <w:trPr>
          <w:trHeight w:val="1993"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7</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13号地</w:t>
            </w:r>
          </w:p>
        </w:tc>
        <w:tc>
          <w:tcPr>
            <w:tcW w:w="256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青山以南、新联路以西</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净用地面积约23.22亩，容积率1.5、2.0，住宅和行政办公用地</w:t>
            </w:r>
          </w:p>
        </w:tc>
        <w:tc>
          <w:tcPr>
            <w:tcW w:w="1464"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宜商宜居现代化城市综合体</w:t>
            </w:r>
          </w:p>
        </w:tc>
        <w:tc>
          <w:tcPr>
            <w:tcW w:w="161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完成预征待转征，需调规、拆迁</w:t>
            </w:r>
          </w:p>
        </w:tc>
      </w:tr>
      <w:tr>
        <w:tblPrEx>
          <w:tblLayout w:type="fixed"/>
          <w:tblCellMar>
            <w:top w:w="15" w:type="dxa"/>
            <w:left w:w="15" w:type="dxa"/>
            <w:bottom w:w="15" w:type="dxa"/>
            <w:right w:w="15" w:type="dxa"/>
          </w:tblCellMar>
        </w:tblPrEx>
        <w:trPr>
          <w:trHeight w:val="112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8</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14号地</w:t>
            </w:r>
          </w:p>
        </w:tc>
        <w:tc>
          <w:tcPr>
            <w:tcW w:w="256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新昌路以南、鸿博转业以北、黑石派出所以西</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净用地面积约19.3亩，容积率1.5，住宅用地</w:t>
            </w:r>
          </w:p>
        </w:tc>
        <w:tc>
          <w:tcPr>
            <w:tcW w:w="1464"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宜居现代化住宅</w:t>
            </w:r>
          </w:p>
        </w:tc>
        <w:tc>
          <w:tcPr>
            <w:tcW w:w="161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完成划拨未办证，需调规、拆迁</w:t>
            </w:r>
          </w:p>
        </w:tc>
      </w:tr>
      <w:tr>
        <w:tblPrEx>
          <w:tblLayout w:type="fixed"/>
          <w:tblCellMar>
            <w:top w:w="15" w:type="dxa"/>
            <w:left w:w="15" w:type="dxa"/>
            <w:bottom w:w="15" w:type="dxa"/>
            <w:right w:w="15" w:type="dxa"/>
          </w:tblCellMar>
        </w:tblPrEx>
        <w:trPr>
          <w:trHeight w:val="112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9</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16号地</w:t>
            </w:r>
          </w:p>
        </w:tc>
        <w:tc>
          <w:tcPr>
            <w:tcW w:w="256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黑石路以南、炮院以北、九峰路以东、枫山路以西</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净用地面积44.9亩，容积率1.0，教育科研用地</w:t>
            </w:r>
          </w:p>
        </w:tc>
        <w:tc>
          <w:tcPr>
            <w:tcW w:w="1464"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企业总部基地</w:t>
            </w:r>
          </w:p>
        </w:tc>
        <w:tc>
          <w:tcPr>
            <w:tcW w:w="161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需调规、拆迁</w:t>
            </w:r>
          </w:p>
        </w:tc>
      </w:tr>
    </w:tbl>
    <w:p>
      <w:pPr>
        <w:spacing w:beforeLines="50" w:afterLines="50" w:line="560" w:lineRule="exact"/>
        <w:ind w:firstLine="643" w:firstLineChars="200"/>
        <w:rPr>
          <w:rFonts w:ascii="仿宋_GB2312" w:hAnsi="仿宋" w:eastAsia="仿宋_GB2312" w:cs="宋体"/>
          <w:b/>
          <w:bCs/>
          <w:sz w:val="32"/>
          <w:szCs w:val="32"/>
        </w:rPr>
      </w:pPr>
      <w:r>
        <w:rPr>
          <w:rFonts w:hint="eastAsia" w:ascii="仿宋_GB2312" w:hAnsi="仿宋" w:eastAsia="仿宋_GB2312" w:cs="宋体"/>
          <w:b/>
          <w:bCs/>
          <w:sz w:val="32"/>
          <w:szCs w:val="32"/>
        </w:rPr>
        <w:t>3、顺之安棚改公司地块</w:t>
      </w:r>
    </w:p>
    <w:tbl>
      <w:tblPr>
        <w:tblStyle w:val="7"/>
        <w:tblW w:w="9832" w:type="dxa"/>
        <w:jc w:val="center"/>
        <w:tblInd w:w="625" w:type="dxa"/>
        <w:tblLayout w:type="fixed"/>
        <w:tblCellMar>
          <w:top w:w="15" w:type="dxa"/>
          <w:left w:w="15" w:type="dxa"/>
          <w:bottom w:w="15" w:type="dxa"/>
          <w:right w:w="15" w:type="dxa"/>
        </w:tblCellMar>
      </w:tblPr>
      <w:tblGrid>
        <w:gridCol w:w="881"/>
        <w:gridCol w:w="1527"/>
        <w:gridCol w:w="2478"/>
        <w:gridCol w:w="1875"/>
        <w:gridCol w:w="1988"/>
        <w:gridCol w:w="1083"/>
      </w:tblGrid>
      <w:tr>
        <w:tblPrEx>
          <w:tblLayout w:type="fixed"/>
          <w:tblCellMar>
            <w:top w:w="15" w:type="dxa"/>
            <w:left w:w="15" w:type="dxa"/>
            <w:bottom w:w="15" w:type="dxa"/>
            <w:right w:w="15" w:type="dxa"/>
          </w:tblCellMar>
        </w:tblPrEx>
        <w:trPr>
          <w:trHeight w:val="613" w:hRule="atLeast"/>
          <w:tblHeader/>
          <w:jc w:val="center"/>
        </w:trPr>
        <w:tc>
          <w:tcPr>
            <w:tcW w:w="881"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kern w:val="0"/>
                <w:sz w:val="24"/>
                <w:szCs w:val="24"/>
              </w:rPr>
            </w:pPr>
            <w:r>
              <w:rPr>
                <w:rFonts w:hint="eastAsia" w:ascii="黑体" w:hAnsi="黑体" w:eastAsia="黑体" w:cs="仿宋_GB2312"/>
                <w:color w:val="000000"/>
                <w:kern w:val="0"/>
                <w:sz w:val="24"/>
                <w:szCs w:val="24"/>
              </w:rPr>
              <w:t>序号</w:t>
            </w:r>
          </w:p>
        </w:tc>
        <w:tc>
          <w:tcPr>
            <w:tcW w:w="1527"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sz w:val="24"/>
                <w:szCs w:val="24"/>
              </w:rPr>
            </w:pPr>
            <w:r>
              <w:rPr>
                <w:rFonts w:hint="eastAsia" w:ascii="黑体" w:hAnsi="黑体" w:eastAsia="黑体" w:cs="仿宋_GB2312"/>
                <w:color w:val="000000"/>
                <w:kern w:val="0"/>
                <w:sz w:val="24"/>
                <w:szCs w:val="24"/>
              </w:rPr>
              <w:t>地块名称</w:t>
            </w:r>
          </w:p>
        </w:tc>
        <w:tc>
          <w:tcPr>
            <w:tcW w:w="247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sz w:val="24"/>
                <w:szCs w:val="24"/>
              </w:rPr>
            </w:pPr>
            <w:r>
              <w:rPr>
                <w:rFonts w:hint="eastAsia" w:ascii="黑体" w:hAnsi="黑体" w:eastAsia="黑体" w:cs="仿宋_GB2312"/>
                <w:color w:val="000000"/>
                <w:kern w:val="0"/>
                <w:sz w:val="24"/>
                <w:szCs w:val="24"/>
              </w:rPr>
              <w:t>地块范围</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sz w:val="24"/>
                <w:szCs w:val="24"/>
              </w:rPr>
            </w:pPr>
            <w:r>
              <w:rPr>
                <w:rFonts w:hint="eastAsia" w:ascii="黑体" w:hAnsi="黑体" w:eastAsia="黑体" w:cs="仿宋_GB2312"/>
                <w:color w:val="000000"/>
                <w:kern w:val="0"/>
                <w:sz w:val="24"/>
                <w:szCs w:val="24"/>
              </w:rPr>
              <w:t>地块指标</w:t>
            </w:r>
          </w:p>
        </w:tc>
        <w:tc>
          <w:tcPr>
            <w:tcW w:w="1988"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kern w:val="0"/>
                <w:sz w:val="24"/>
                <w:szCs w:val="24"/>
              </w:rPr>
            </w:pPr>
            <w:r>
              <w:rPr>
                <w:rFonts w:hint="eastAsia" w:ascii="黑体" w:hAnsi="黑体" w:eastAsia="黑体" w:cs="仿宋_GB2312"/>
                <w:color w:val="000000"/>
                <w:kern w:val="0"/>
                <w:sz w:val="24"/>
                <w:szCs w:val="24"/>
              </w:rPr>
              <w:t>地块定位</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widowControl/>
              <w:spacing w:line="560" w:lineRule="exact"/>
              <w:jc w:val="center"/>
              <w:textAlignment w:val="center"/>
              <w:rPr>
                <w:rFonts w:ascii="黑体" w:hAnsi="黑体" w:eastAsia="黑体" w:cs="仿宋_GB2312"/>
                <w:color w:val="000000"/>
                <w:kern w:val="0"/>
                <w:sz w:val="24"/>
                <w:szCs w:val="24"/>
              </w:rPr>
            </w:pPr>
            <w:r>
              <w:rPr>
                <w:rFonts w:hint="eastAsia" w:ascii="黑体" w:hAnsi="黑体" w:eastAsia="黑体" w:cs="仿宋_GB2312"/>
                <w:color w:val="000000"/>
                <w:kern w:val="0"/>
                <w:sz w:val="24"/>
                <w:szCs w:val="24"/>
              </w:rPr>
              <w:t>地块现状</w:t>
            </w:r>
          </w:p>
        </w:tc>
      </w:tr>
      <w:tr>
        <w:tblPrEx>
          <w:tblLayout w:type="fixed"/>
          <w:tblCellMar>
            <w:top w:w="15" w:type="dxa"/>
            <w:left w:w="15" w:type="dxa"/>
            <w:bottom w:w="15" w:type="dxa"/>
            <w:right w:w="15" w:type="dxa"/>
          </w:tblCellMar>
        </w:tblPrEx>
        <w:trPr>
          <w:trHeight w:val="1120" w:hRule="atLeast"/>
          <w:jc w:val="center"/>
        </w:trPr>
        <w:tc>
          <w:tcPr>
            <w:tcW w:w="881"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1527"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古道巷有机棚改项目</w:t>
            </w:r>
          </w:p>
        </w:tc>
        <w:tc>
          <w:tcPr>
            <w:tcW w:w="2478"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东起蔡锷南路，西至黄兴南路，南接城南西路，北到大古道巷。</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净用地面积约57亩，容积率2.1、3.5，商业用地</w:t>
            </w:r>
          </w:p>
        </w:tc>
        <w:tc>
          <w:tcPr>
            <w:tcW w:w="1988"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具有传统文化特色商业中心</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已完成腾地征收</w:t>
            </w:r>
          </w:p>
          <w:p>
            <w:pPr>
              <w:widowControl/>
              <w:tabs>
                <w:tab w:val="left" w:pos="770"/>
              </w:tabs>
              <w:spacing w:line="560" w:lineRule="exact"/>
              <w:jc w:val="center"/>
              <w:textAlignment w:val="center"/>
              <w:rPr>
                <w:rFonts w:hint="eastAsia" w:ascii="仿宋_GB2312" w:hAnsi="宋体" w:eastAsia="仿宋_GB2312" w:cs="宋体"/>
                <w:color w:val="000000"/>
                <w:kern w:val="0"/>
                <w:sz w:val="24"/>
                <w:szCs w:val="24"/>
              </w:rPr>
            </w:pPr>
          </w:p>
          <w:p>
            <w:pPr>
              <w:widowControl/>
              <w:tabs>
                <w:tab w:val="left" w:pos="770"/>
              </w:tabs>
              <w:spacing w:line="560" w:lineRule="exact"/>
              <w:jc w:val="center"/>
              <w:textAlignment w:val="center"/>
              <w:rPr>
                <w:rFonts w:hint="eastAsia" w:ascii="仿宋_GB2312" w:hAnsi="宋体" w:eastAsia="仿宋_GB2312" w:cs="宋体"/>
                <w:color w:val="000000"/>
                <w:kern w:val="0"/>
                <w:sz w:val="24"/>
                <w:szCs w:val="24"/>
              </w:rPr>
            </w:pPr>
          </w:p>
        </w:tc>
      </w:tr>
      <w:tr>
        <w:tblPrEx>
          <w:tblLayout w:type="fixed"/>
          <w:tblCellMar>
            <w:top w:w="15" w:type="dxa"/>
            <w:left w:w="15" w:type="dxa"/>
            <w:bottom w:w="15" w:type="dxa"/>
            <w:right w:w="15" w:type="dxa"/>
          </w:tblCellMar>
        </w:tblPrEx>
        <w:trPr>
          <w:trHeight w:val="453" w:hRule="atLeast"/>
          <w:jc w:val="center"/>
        </w:trPr>
        <w:tc>
          <w:tcPr>
            <w:tcW w:w="881"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hint="eastAsia" w:ascii="仿宋_GB2312" w:hAnsi="宋体" w:eastAsia="仿宋_GB2312" w:cs="宋体"/>
                <w:color w:val="000000"/>
                <w:kern w:val="0"/>
                <w:sz w:val="24"/>
                <w:szCs w:val="24"/>
              </w:rPr>
            </w:pPr>
          </w:p>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1527"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南湖路狮子山地块棚改项目</w:t>
            </w:r>
          </w:p>
        </w:tc>
        <w:tc>
          <w:tcPr>
            <w:tcW w:w="2478"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位于芙蓉路与南湖路交汇处西北角，东临芙蓉路，南接“天心银座”城市综合体，西至天剑路，北与湖南星城房地产有限公司宿舍相邻</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净用地面积约26.88亩，容积率6.0，商住用地</w:t>
            </w:r>
          </w:p>
        </w:tc>
        <w:tc>
          <w:tcPr>
            <w:tcW w:w="1988"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城市商住综合体</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已完成腾地征收</w:t>
            </w:r>
          </w:p>
        </w:tc>
      </w:tr>
      <w:tr>
        <w:tblPrEx>
          <w:tblLayout w:type="fixed"/>
          <w:tblCellMar>
            <w:top w:w="15" w:type="dxa"/>
            <w:left w:w="15" w:type="dxa"/>
            <w:bottom w:w="15" w:type="dxa"/>
            <w:right w:w="15" w:type="dxa"/>
          </w:tblCellMar>
        </w:tblPrEx>
        <w:trPr>
          <w:trHeight w:val="1120" w:hRule="atLeast"/>
          <w:jc w:val="center"/>
        </w:trPr>
        <w:tc>
          <w:tcPr>
            <w:tcW w:w="881"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w:t>
            </w:r>
          </w:p>
        </w:tc>
        <w:tc>
          <w:tcPr>
            <w:tcW w:w="1527"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新建西路零星地块棚改项目</w:t>
            </w:r>
          </w:p>
        </w:tc>
        <w:tc>
          <w:tcPr>
            <w:tcW w:w="2478"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东起芙蓉南路及新建西路南侧边线、南至赤岭路小学及浦沅起重机分厂、西接赤岭路及新建西路规划路幅南侧边线区、北以新建西路规划路幅北侧为界</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净用地面积约27亩，容积率5.5，商业用地</w:t>
            </w:r>
          </w:p>
        </w:tc>
        <w:tc>
          <w:tcPr>
            <w:tcW w:w="1988"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城市商业综合体</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hint="eastAsia" w:ascii="仿宋_GB2312" w:hAnsi="宋体" w:eastAsia="仿宋_GB2312" w:cs="宋体"/>
                <w:color w:val="000000"/>
                <w:kern w:val="0"/>
                <w:sz w:val="24"/>
                <w:szCs w:val="24"/>
                <w:lang w:eastAsia="zh-CN"/>
              </w:rPr>
            </w:pPr>
            <w:r>
              <w:rPr>
                <w:rFonts w:hint="eastAsia" w:ascii="仿宋_GB2312" w:hAnsi="宋体" w:eastAsia="仿宋_GB2312" w:cs="宋体"/>
                <w:color w:val="000000"/>
                <w:kern w:val="0"/>
                <w:sz w:val="24"/>
                <w:szCs w:val="24"/>
                <w:lang w:eastAsia="zh-CN"/>
              </w:rPr>
              <w:t>已过土委会，预计</w:t>
            </w:r>
            <w:r>
              <w:rPr>
                <w:rFonts w:hint="eastAsia" w:ascii="仿宋_GB2312" w:hAnsi="宋体" w:eastAsia="仿宋_GB2312" w:cs="宋体"/>
                <w:color w:val="000000"/>
                <w:kern w:val="0"/>
                <w:sz w:val="24"/>
                <w:szCs w:val="24"/>
                <w:lang w:val="en-US" w:eastAsia="zh-CN"/>
              </w:rPr>
              <w:t>2019年上半年挂牌</w:t>
            </w:r>
          </w:p>
        </w:tc>
      </w:tr>
      <w:tr>
        <w:tblPrEx>
          <w:tblLayout w:type="fixed"/>
          <w:tblCellMar>
            <w:top w:w="15" w:type="dxa"/>
            <w:left w:w="15" w:type="dxa"/>
            <w:bottom w:w="15" w:type="dxa"/>
            <w:right w:w="15" w:type="dxa"/>
          </w:tblCellMar>
        </w:tblPrEx>
        <w:trPr>
          <w:trHeight w:val="1120" w:hRule="atLeast"/>
          <w:jc w:val="center"/>
        </w:trPr>
        <w:tc>
          <w:tcPr>
            <w:tcW w:w="881"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w:t>
            </w:r>
          </w:p>
        </w:tc>
        <w:tc>
          <w:tcPr>
            <w:tcW w:w="1527"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新下河街地块</w:t>
            </w:r>
          </w:p>
        </w:tc>
        <w:tc>
          <w:tcPr>
            <w:tcW w:w="2478"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五一大道与湘江大道交汇处东南角</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占地面积约14亩，容积率2.0，商业用地</w:t>
            </w:r>
          </w:p>
        </w:tc>
        <w:tc>
          <w:tcPr>
            <w:tcW w:w="1988"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商业综合体</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已完成腾地征收</w:t>
            </w:r>
          </w:p>
        </w:tc>
      </w:tr>
      <w:tr>
        <w:tblPrEx>
          <w:tblLayout w:type="fixed"/>
          <w:tblCellMar>
            <w:top w:w="15" w:type="dxa"/>
            <w:left w:w="15" w:type="dxa"/>
            <w:bottom w:w="15" w:type="dxa"/>
            <w:right w:w="15" w:type="dxa"/>
          </w:tblCellMar>
        </w:tblPrEx>
        <w:trPr>
          <w:trHeight w:val="1120" w:hRule="atLeast"/>
          <w:jc w:val="center"/>
        </w:trPr>
        <w:tc>
          <w:tcPr>
            <w:tcW w:w="881"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w:t>
            </w:r>
          </w:p>
        </w:tc>
        <w:tc>
          <w:tcPr>
            <w:tcW w:w="1527"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长沙机床厂及周边零星地块</w:t>
            </w:r>
          </w:p>
        </w:tc>
        <w:tc>
          <w:tcPr>
            <w:tcW w:w="2478"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位于新开铺路以东、木莲冲路以南、新姚路以西、新天村鸡公咀安置小区以北</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占地面积约458亩，容积率3.0，商住用地</w:t>
            </w:r>
          </w:p>
        </w:tc>
        <w:tc>
          <w:tcPr>
            <w:tcW w:w="1988"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城市大型商业综合体</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widowControl/>
              <w:tabs>
                <w:tab w:val="left" w:pos="770"/>
              </w:tabs>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已到拆迁扫尾阶段</w:t>
            </w:r>
          </w:p>
        </w:tc>
      </w:tr>
    </w:tbl>
    <w:p>
      <w:pPr>
        <w:spacing w:beforeLines="50" w:afterLines="50" w:line="560" w:lineRule="exact"/>
        <w:ind w:firstLine="630" w:firstLineChars="196"/>
        <w:rPr>
          <w:rFonts w:hint="eastAsia" w:ascii="仿宋_GB2312" w:hAnsi="仿宋" w:eastAsia="仿宋_GB2312" w:cs="宋体"/>
          <w:b/>
          <w:bCs/>
          <w:sz w:val="32"/>
          <w:szCs w:val="32"/>
        </w:rPr>
      </w:pPr>
    </w:p>
    <w:p>
      <w:pPr>
        <w:spacing w:beforeLines="50" w:afterLines="50" w:line="560" w:lineRule="exact"/>
        <w:ind w:firstLine="630" w:firstLineChars="196"/>
        <w:rPr>
          <w:rFonts w:hint="eastAsia" w:ascii="仿宋_GB2312" w:hAnsi="仿宋" w:eastAsia="仿宋_GB2312" w:cs="宋体"/>
          <w:b/>
          <w:bCs/>
          <w:sz w:val="32"/>
          <w:szCs w:val="32"/>
        </w:rPr>
      </w:pPr>
    </w:p>
    <w:p>
      <w:pPr>
        <w:spacing w:beforeLines="50" w:afterLines="50" w:line="560" w:lineRule="exact"/>
        <w:ind w:firstLine="630" w:firstLineChars="196"/>
        <w:rPr>
          <w:rFonts w:ascii="仿宋_GB2312" w:hAnsi="仿宋" w:eastAsia="仿宋_GB2312" w:cs="宋体"/>
          <w:b/>
          <w:bCs/>
          <w:sz w:val="32"/>
          <w:szCs w:val="32"/>
        </w:rPr>
      </w:pPr>
      <w:r>
        <w:rPr>
          <w:rFonts w:hint="eastAsia" w:ascii="仿宋_GB2312" w:hAnsi="仿宋" w:eastAsia="仿宋_GB2312" w:cs="宋体"/>
          <w:b/>
          <w:bCs/>
          <w:sz w:val="32"/>
          <w:szCs w:val="32"/>
        </w:rPr>
        <w:t>4、城中村改造地块</w:t>
      </w:r>
    </w:p>
    <w:tbl>
      <w:tblPr>
        <w:tblStyle w:val="7"/>
        <w:tblW w:w="9602" w:type="dxa"/>
        <w:jc w:val="center"/>
        <w:tblInd w:w="7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312"/>
        <w:gridCol w:w="2670"/>
        <w:gridCol w:w="2355"/>
        <w:gridCol w:w="1176"/>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blHeader/>
          <w:jc w:val="center"/>
        </w:trPr>
        <w:tc>
          <w:tcPr>
            <w:tcW w:w="789" w:type="dxa"/>
            <w:noWrap/>
            <w:vAlign w:val="center"/>
          </w:tcPr>
          <w:p>
            <w:pPr>
              <w:widowControl/>
              <w:spacing w:line="560" w:lineRule="exact"/>
              <w:jc w:val="center"/>
              <w:textAlignment w:val="center"/>
              <w:rPr>
                <w:rFonts w:ascii="黑体" w:hAnsi="黑体" w:eastAsia="黑体" w:cs="仿宋_GB2312"/>
                <w:color w:val="000000"/>
                <w:kern w:val="0"/>
                <w:sz w:val="24"/>
                <w:szCs w:val="24"/>
              </w:rPr>
            </w:pPr>
            <w:r>
              <w:rPr>
                <w:rFonts w:hint="eastAsia" w:ascii="黑体" w:hAnsi="黑体" w:eastAsia="黑体" w:cs="仿宋_GB2312"/>
                <w:color w:val="000000"/>
                <w:kern w:val="0"/>
                <w:sz w:val="24"/>
                <w:szCs w:val="24"/>
              </w:rPr>
              <w:t>序号</w:t>
            </w:r>
          </w:p>
        </w:tc>
        <w:tc>
          <w:tcPr>
            <w:tcW w:w="1312" w:type="dxa"/>
            <w:noWrap/>
            <w:vAlign w:val="center"/>
          </w:tcPr>
          <w:p>
            <w:pPr>
              <w:widowControl/>
              <w:spacing w:line="560" w:lineRule="exact"/>
              <w:jc w:val="center"/>
              <w:textAlignment w:val="center"/>
              <w:rPr>
                <w:rFonts w:ascii="黑体" w:hAnsi="黑体" w:eastAsia="黑体" w:cs="宋体"/>
                <w:bCs/>
                <w:color w:val="000000"/>
                <w:kern w:val="0"/>
                <w:sz w:val="24"/>
                <w:szCs w:val="24"/>
              </w:rPr>
            </w:pPr>
            <w:r>
              <w:rPr>
                <w:rFonts w:hint="eastAsia" w:ascii="黑体" w:hAnsi="黑体" w:eastAsia="黑体" w:cs="仿宋_GB2312"/>
                <w:color w:val="000000"/>
                <w:kern w:val="0"/>
                <w:sz w:val="24"/>
                <w:szCs w:val="24"/>
              </w:rPr>
              <w:t>地块名称</w:t>
            </w:r>
          </w:p>
        </w:tc>
        <w:tc>
          <w:tcPr>
            <w:tcW w:w="2670" w:type="dxa"/>
            <w:noWrap/>
            <w:vAlign w:val="center"/>
          </w:tcPr>
          <w:p>
            <w:pPr>
              <w:widowControl/>
              <w:spacing w:line="560" w:lineRule="exact"/>
              <w:jc w:val="center"/>
              <w:textAlignment w:val="center"/>
              <w:rPr>
                <w:rFonts w:ascii="黑体" w:hAnsi="黑体" w:eastAsia="黑体" w:cs="宋体"/>
                <w:bCs/>
                <w:color w:val="000000"/>
                <w:kern w:val="0"/>
                <w:sz w:val="24"/>
                <w:szCs w:val="24"/>
              </w:rPr>
            </w:pPr>
            <w:r>
              <w:rPr>
                <w:rFonts w:hint="eastAsia" w:ascii="黑体" w:hAnsi="黑体" w:eastAsia="黑体" w:cs="仿宋_GB2312"/>
                <w:color w:val="000000"/>
                <w:kern w:val="0"/>
                <w:sz w:val="24"/>
                <w:szCs w:val="24"/>
              </w:rPr>
              <w:t>地块范围</w:t>
            </w:r>
          </w:p>
        </w:tc>
        <w:tc>
          <w:tcPr>
            <w:tcW w:w="2355" w:type="dxa"/>
            <w:noWrap/>
            <w:vAlign w:val="center"/>
          </w:tcPr>
          <w:p>
            <w:pPr>
              <w:widowControl/>
              <w:spacing w:line="560" w:lineRule="exact"/>
              <w:jc w:val="center"/>
              <w:textAlignment w:val="center"/>
              <w:rPr>
                <w:rFonts w:ascii="黑体" w:hAnsi="黑体" w:eastAsia="黑体" w:cs="宋体"/>
                <w:bCs/>
                <w:color w:val="000000"/>
                <w:kern w:val="0"/>
                <w:sz w:val="24"/>
                <w:szCs w:val="24"/>
              </w:rPr>
            </w:pPr>
            <w:r>
              <w:rPr>
                <w:rFonts w:hint="eastAsia" w:ascii="黑体" w:hAnsi="黑体" w:eastAsia="黑体" w:cs="仿宋_GB2312"/>
                <w:color w:val="000000"/>
                <w:kern w:val="0"/>
                <w:sz w:val="24"/>
                <w:szCs w:val="24"/>
              </w:rPr>
              <w:t>地块指标</w:t>
            </w:r>
          </w:p>
        </w:tc>
        <w:tc>
          <w:tcPr>
            <w:tcW w:w="1176" w:type="dxa"/>
            <w:noWrap/>
            <w:vAlign w:val="center"/>
          </w:tcPr>
          <w:p>
            <w:pPr>
              <w:widowControl/>
              <w:spacing w:line="560" w:lineRule="exact"/>
              <w:jc w:val="center"/>
              <w:textAlignment w:val="center"/>
              <w:rPr>
                <w:rFonts w:ascii="黑体" w:hAnsi="黑体" w:eastAsia="黑体" w:cs="宋体"/>
                <w:bCs/>
                <w:color w:val="000000"/>
                <w:kern w:val="0"/>
                <w:sz w:val="24"/>
                <w:szCs w:val="24"/>
              </w:rPr>
            </w:pPr>
            <w:r>
              <w:rPr>
                <w:rFonts w:hint="eastAsia" w:ascii="黑体" w:hAnsi="黑体" w:eastAsia="黑体" w:cs="仿宋_GB2312"/>
                <w:color w:val="000000"/>
                <w:kern w:val="0"/>
                <w:sz w:val="24"/>
                <w:szCs w:val="24"/>
              </w:rPr>
              <w:t>地块定位</w:t>
            </w:r>
          </w:p>
        </w:tc>
        <w:tc>
          <w:tcPr>
            <w:tcW w:w="1300" w:type="dxa"/>
            <w:noWrap/>
            <w:vAlign w:val="center"/>
          </w:tcPr>
          <w:p>
            <w:pPr>
              <w:widowControl/>
              <w:spacing w:line="560" w:lineRule="exact"/>
              <w:jc w:val="center"/>
              <w:textAlignment w:val="center"/>
              <w:rPr>
                <w:rFonts w:ascii="黑体" w:hAnsi="黑体" w:eastAsia="黑体" w:cs="仿宋_GB2312"/>
                <w:color w:val="000000"/>
                <w:kern w:val="0"/>
                <w:sz w:val="24"/>
                <w:szCs w:val="24"/>
              </w:rPr>
            </w:pPr>
            <w:r>
              <w:rPr>
                <w:rFonts w:hint="eastAsia" w:ascii="黑体" w:hAnsi="黑体" w:eastAsia="黑体" w:cs="仿宋_GB2312"/>
                <w:color w:val="000000"/>
                <w:kern w:val="0"/>
                <w:sz w:val="24"/>
                <w:szCs w:val="24"/>
              </w:rPr>
              <w:t>地块现状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789" w:type="dxa"/>
            <w:noWrap/>
            <w:vAlign w:val="center"/>
          </w:tcPr>
          <w:p>
            <w:pPr>
              <w:widowControl/>
              <w:spacing w:line="560" w:lineRule="exact"/>
              <w:jc w:val="center"/>
              <w:textAlignment w:val="center"/>
              <w:rPr>
                <w:rFonts w:ascii="仿宋_GB2312" w:eastAsia="仿宋_GB2312"/>
                <w:color w:val="000000"/>
                <w:sz w:val="24"/>
                <w:szCs w:val="24"/>
              </w:rPr>
            </w:pPr>
            <w:r>
              <w:rPr>
                <w:rFonts w:hint="eastAsia" w:ascii="仿宋_GB2312" w:eastAsia="仿宋_GB2312"/>
                <w:color w:val="000000"/>
                <w:sz w:val="24"/>
                <w:szCs w:val="24"/>
              </w:rPr>
              <w:t>1</w:t>
            </w:r>
          </w:p>
        </w:tc>
        <w:tc>
          <w:tcPr>
            <w:tcW w:w="1312" w:type="dxa"/>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eastAsia="仿宋_GB2312"/>
                <w:color w:val="000000"/>
                <w:sz w:val="24"/>
                <w:szCs w:val="24"/>
              </w:rPr>
              <w:t>肖家大屋地块</w:t>
            </w:r>
          </w:p>
        </w:tc>
        <w:tc>
          <w:tcPr>
            <w:tcW w:w="2670" w:type="dxa"/>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eastAsia="仿宋_GB2312"/>
                <w:color w:val="000000"/>
                <w:sz w:val="24"/>
                <w:szCs w:val="24"/>
              </w:rPr>
              <w:t>北临钱隆学府、西临书院路、南临融源基地、东临明德中学</w:t>
            </w:r>
          </w:p>
        </w:tc>
        <w:tc>
          <w:tcPr>
            <w:tcW w:w="2355" w:type="dxa"/>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eastAsia="仿宋_GB2312"/>
                <w:color w:val="000000"/>
                <w:sz w:val="24"/>
                <w:szCs w:val="24"/>
              </w:rPr>
              <w:t>净用地面积约</w:t>
            </w:r>
            <w:r>
              <w:rPr>
                <w:rFonts w:hint="eastAsia" w:ascii="仿宋_GB2312" w:eastAsia="仿宋_GB2312"/>
                <w:color w:val="000000"/>
                <w:sz w:val="24"/>
                <w:szCs w:val="24"/>
                <w:lang w:val="en-US" w:eastAsia="zh-CN"/>
              </w:rPr>
              <w:t>87</w:t>
            </w:r>
            <w:r>
              <w:rPr>
                <w:rFonts w:hint="eastAsia" w:ascii="仿宋_GB2312" w:eastAsia="仿宋_GB2312"/>
                <w:color w:val="000000"/>
                <w:sz w:val="24"/>
                <w:szCs w:val="24"/>
              </w:rPr>
              <w:t>亩，容积率1.5、2.2、2.4，商住用地</w:t>
            </w:r>
          </w:p>
        </w:tc>
        <w:tc>
          <w:tcPr>
            <w:tcW w:w="1176" w:type="dxa"/>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宋体" w:eastAsia="仿宋_GB2312" w:cs="宋体"/>
                <w:color w:val="000000"/>
                <w:kern w:val="0"/>
                <w:sz w:val="24"/>
                <w:szCs w:val="24"/>
              </w:rPr>
              <w:t>宜商宜居现代化城市综合体</w:t>
            </w:r>
          </w:p>
        </w:tc>
        <w:tc>
          <w:tcPr>
            <w:tcW w:w="1300" w:type="dxa"/>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已完成腾地征收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0" w:hRule="atLeast"/>
          <w:jc w:val="center"/>
        </w:trPr>
        <w:tc>
          <w:tcPr>
            <w:tcW w:w="789" w:type="dxa"/>
            <w:noWrap/>
            <w:vAlign w:val="center"/>
          </w:tcPr>
          <w:p>
            <w:pPr>
              <w:widowControl/>
              <w:spacing w:line="560" w:lineRule="exact"/>
              <w:jc w:val="center"/>
              <w:textAlignment w:val="center"/>
              <w:rPr>
                <w:rFonts w:ascii="仿宋_GB2312" w:eastAsia="仿宋_GB2312"/>
                <w:color w:val="000000"/>
                <w:sz w:val="24"/>
                <w:szCs w:val="24"/>
              </w:rPr>
            </w:pPr>
            <w:r>
              <w:rPr>
                <w:rFonts w:hint="eastAsia" w:ascii="仿宋_GB2312" w:eastAsia="仿宋_GB2312"/>
                <w:color w:val="000000"/>
                <w:sz w:val="24"/>
                <w:szCs w:val="24"/>
              </w:rPr>
              <w:t>2</w:t>
            </w:r>
          </w:p>
        </w:tc>
        <w:tc>
          <w:tcPr>
            <w:tcW w:w="1312" w:type="dxa"/>
            <w:noWrap/>
            <w:vAlign w:val="center"/>
          </w:tcPr>
          <w:p>
            <w:pPr>
              <w:widowControl/>
              <w:spacing w:line="560" w:lineRule="exact"/>
              <w:jc w:val="center"/>
              <w:textAlignment w:val="center"/>
              <w:rPr>
                <w:rFonts w:ascii="仿宋_GB2312" w:hAnsi="仿宋_GB2312" w:eastAsia="仿宋_GB2312" w:cs="仿宋_GB2312"/>
                <w:color w:val="FF0000"/>
                <w:kern w:val="0"/>
                <w:sz w:val="24"/>
                <w:szCs w:val="24"/>
              </w:rPr>
            </w:pPr>
            <w:r>
              <w:rPr>
                <w:rFonts w:hint="eastAsia" w:ascii="仿宋_GB2312" w:eastAsia="仿宋_GB2312"/>
                <w:color w:val="000000"/>
                <w:sz w:val="24"/>
                <w:szCs w:val="24"/>
              </w:rPr>
              <w:t>书香路四角地块</w:t>
            </w:r>
          </w:p>
        </w:tc>
        <w:tc>
          <w:tcPr>
            <w:tcW w:w="2670" w:type="dxa"/>
            <w:noWrap/>
            <w:vAlign w:val="center"/>
          </w:tcPr>
          <w:p>
            <w:pPr>
              <w:widowControl/>
              <w:spacing w:line="560" w:lineRule="exact"/>
              <w:jc w:val="center"/>
              <w:textAlignment w:val="center"/>
              <w:rPr>
                <w:rFonts w:ascii="仿宋_GB2312" w:hAnsi="仿宋_GB2312" w:eastAsia="仿宋_GB2312" w:cs="仿宋_GB2312"/>
                <w:color w:val="FF0000"/>
                <w:kern w:val="0"/>
                <w:sz w:val="24"/>
                <w:szCs w:val="24"/>
              </w:rPr>
            </w:pPr>
            <w:r>
              <w:rPr>
                <w:rFonts w:hint="eastAsia" w:ascii="仿宋_GB2312" w:eastAsia="仿宋_GB2312"/>
                <w:color w:val="000000"/>
                <w:sz w:val="24"/>
                <w:szCs w:val="24"/>
              </w:rPr>
              <w:t>友谊路与书香路交汇四角处</w:t>
            </w:r>
          </w:p>
        </w:tc>
        <w:tc>
          <w:tcPr>
            <w:tcW w:w="2355" w:type="dxa"/>
            <w:noWrap/>
            <w:vAlign w:val="center"/>
          </w:tcPr>
          <w:p>
            <w:pPr>
              <w:widowControl/>
              <w:spacing w:line="560" w:lineRule="exact"/>
              <w:jc w:val="center"/>
              <w:textAlignment w:val="center"/>
              <w:rPr>
                <w:rFonts w:ascii="仿宋_GB2312" w:hAnsi="仿宋_GB2312" w:eastAsia="仿宋_GB2312" w:cs="仿宋_GB2312"/>
                <w:color w:val="FF0000"/>
                <w:kern w:val="0"/>
                <w:sz w:val="24"/>
                <w:szCs w:val="24"/>
              </w:rPr>
            </w:pPr>
            <w:r>
              <w:rPr>
                <w:rFonts w:hint="eastAsia" w:ascii="仿宋_GB2312" w:eastAsia="仿宋_GB2312"/>
                <w:color w:val="000000"/>
                <w:sz w:val="24"/>
                <w:szCs w:val="24"/>
              </w:rPr>
              <w:t>净用地面积约93.1亩，容积率1.2、3.0、3.8，商住用地</w:t>
            </w:r>
          </w:p>
        </w:tc>
        <w:tc>
          <w:tcPr>
            <w:tcW w:w="1176" w:type="dxa"/>
            <w:noWrap/>
            <w:vAlign w:val="center"/>
          </w:tcPr>
          <w:p>
            <w:pPr>
              <w:widowControl/>
              <w:spacing w:line="560" w:lineRule="exact"/>
              <w:jc w:val="center"/>
              <w:textAlignment w:val="center"/>
              <w:rPr>
                <w:rFonts w:ascii="仿宋_GB2312" w:hAnsi="仿宋_GB2312" w:eastAsia="仿宋_GB2312" w:cs="仿宋_GB2312"/>
                <w:color w:val="FF0000"/>
                <w:kern w:val="0"/>
                <w:sz w:val="24"/>
                <w:szCs w:val="24"/>
              </w:rPr>
            </w:pPr>
            <w:r>
              <w:rPr>
                <w:rFonts w:hint="eastAsia" w:ascii="仿宋_GB2312" w:hAnsi="宋体" w:eastAsia="仿宋_GB2312" w:cs="宋体"/>
                <w:color w:val="000000"/>
                <w:kern w:val="0"/>
                <w:sz w:val="24"/>
                <w:szCs w:val="24"/>
              </w:rPr>
              <w:t>宜商宜居现代化城市综合体</w:t>
            </w:r>
          </w:p>
        </w:tc>
        <w:tc>
          <w:tcPr>
            <w:tcW w:w="1300" w:type="dxa"/>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已完成腾地征收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0" w:hRule="atLeast"/>
          <w:jc w:val="center"/>
        </w:trPr>
        <w:tc>
          <w:tcPr>
            <w:tcW w:w="789" w:type="dxa"/>
            <w:noWrap/>
            <w:vAlign w:val="center"/>
          </w:tcPr>
          <w:p>
            <w:pPr>
              <w:widowControl/>
              <w:spacing w:line="560" w:lineRule="exact"/>
              <w:jc w:val="center"/>
              <w:textAlignment w:val="center"/>
              <w:rPr>
                <w:rFonts w:ascii="仿宋_GB2312" w:eastAsia="仿宋_GB2312"/>
                <w:color w:val="000000"/>
                <w:sz w:val="24"/>
                <w:szCs w:val="24"/>
              </w:rPr>
            </w:pPr>
            <w:r>
              <w:rPr>
                <w:rFonts w:hint="eastAsia" w:ascii="仿宋_GB2312" w:eastAsia="仿宋_GB2312"/>
                <w:color w:val="000000"/>
                <w:sz w:val="24"/>
                <w:szCs w:val="24"/>
              </w:rPr>
              <w:t>3</w:t>
            </w:r>
          </w:p>
        </w:tc>
        <w:tc>
          <w:tcPr>
            <w:tcW w:w="1312" w:type="dxa"/>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eastAsia="仿宋_GB2312"/>
                <w:color w:val="000000"/>
                <w:sz w:val="24"/>
                <w:szCs w:val="24"/>
              </w:rPr>
              <w:t>新姚二号地块</w:t>
            </w:r>
          </w:p>
        </w:tc>
        <w:tc>
          <w:tcPr>
            <w:tcW w:w="2670" w:type="dxa"/>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eastAsia="仿宋_GB2312"/>
                <w:color w:val="000000"/>
                <w:sz w:val="24"/>
                <w:szCs w:val="24"/>
              </w:rPr>
              <w:t>友谊路和新姚路交叉口西北角</w:t>
            </w:r>
          </w:p>
        </w:tc>
        <w:tc>
          <w:tcPr>
            <w:tcW w:w="2355" w:type="dxa"/>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eastAsia="仿宋_GB2312"/>
                <w:color w:val="000000"/>
                <w:sz w:val="24"/>
                <w:szCs w:val="24"/>
              </w:rPr>
              <w:t>净用地面积约109.4亩，容积率3.0，商住用地</w:t>
            </w:r>
          </w:p>
        </w:tc>
        <w:tc>
          <w:tcPr>
            <w:tcW w:w="1176" w:type="dxa"/>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宋体" w:eastAsia="仿宋_GB2312" w:cs="宋体"/>
                <w:color w:val="000000"/>
                <w:kern w:val="0"/>
                <w:sz w:val="24"/>
                <w:szCs w:val="24"/>
              </w:rPr>
              <w:t>大型综合项目开发</w:t>
            </w:r>
          </w:p>
        </w:tc>
        <w:tc>
          <w:tcPr>
            <w:tcW w:w="1300" w:type="dxa"/>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已过土委会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0" w:hRule="atLeast"/>
          <w:jc w:val="center"/>
        </w:trPr>
        <w:tc>
          <w:tcPr>
            <w:tcW w:w="789" w:type="dxa"/>
            <w:noWrap/>
            <w:vAlign w:val="center"/>
          </w:tcPr>
          <w:p>
            <w:pPr>
              <w:widowControl/>
              <w:spacing w:line="560" w:lineRule="exact"/>
              <w:jc w:val="center"/>
              <w:textAlignment w:val="center"/>
              <w:rPr>
                <w:rFonts w:ascii="仿宋_GB2312" w:eastAsia="仿宋_GB2312"/>
                <w:color w:val="000000"/>
                <w:sz w:val="24"/>
                <w:szCs w:val="24"/>
              </w:rPr>
            </w:pPr>
            <w:r>
              <w:rPr>
                <w:rFonts w:hint="eastAsia" w:ascii="仿宋_GB2312" w:eastAsia="仿宋_GB2312"/>
                <w:color w:val="000000"/>
                <w:sz w:val="24"/>
                <w:szCs w:val="24"/>
              </w:rPr>
              <w:t>4</w:t>
            </w:r>
          </w:p>
        </w:tc>
        <w:tc>
          <w:tcPr>
            <w:tcW w:w="1312" w:type="dxa"/>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eastAsia="仿宋_GB2312"/>
                <w:color w:val="000000"/>
                <w:sz w:val="24"/>
                <w:szCs w:val="24"/>
              </w:rPr>
              <w:t>九峰村集体土地</w:t>
            </w:r>
          </w:p>
        </w:tc>
        <w:tc>
          <w:tcPr>
            <w:tcW w:w="2670" w:type="dxa"/>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eastAsia="仿宋_GB2312"/>
                <w:color w:val="000000"/>
                <w:sz w:val="24"/>
                <w:szCs w:val="24"/>
              </w:rPr>
              <w:t>黑石路以南，书香路以西。</w:t>
            </w:r>
          </w:p>
        </w:tc>
        <w:tc>
          <w:tcPr>
            <w:tcW w:w="2355" w:type="dxa"/>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eastAsia="仿宋_GB2312"/>
                <w:color w:val="000000"/>
                <w:sz w:val="24"/>
                <w:szCs w:val="24"/>
              </w:rPr>
              <w:t>净用地面积约</w:t>
            </w:r>
            <w:r>
              <w:rPr>
                <w:rFonts w:hint="eastAsia" w:ascii="仿宋_GB2312" w:eastAsia="仿宋_GB2312"/>
                <w:color w:val="000000"/>
                <w:sz w:val="24"/>
                <w:szCs w:val="24"/>
                <w:lang w:val="en-US" w:eastAsia="zh-CN"/>
              </w:rPr>
              <w:t>126</w:t>
            </w:r>
            <w:r>
              <w:rPr>
                <w:rFonts w:hint="eastAsia" w:ascii="仿宋_GB2312" w:eastAsia="仿宋_GB2312"/>
                <w:color w:val="000000"/>
                <w:sz w:val="24"/>
                <w:szCs w:val="24"/>
              </w:rPr>
              <w:t>亩，容积率1.4、1.8，商住用地</w:t>
            </w:r>
          </w:p>
        </w:tc>
        <w:tc>
          <w:tcPr>
            <w:tcW w:w="1176" w:type="dxa"/>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hAnsi="宋体" w:eastAsia="仿宋_GB2312" w:cs="宋体"/>
                <w:color w:val="000000"/>
                <w:kern w:val="0"/>
                <w:sz w:val="24"/>
                <w:szCs w:val="24"/>
              </w:rPr>
              <w:t>城市商住综合体</w:t>
            </w:r>
          </w:p>
        </w:tc>
        <w:tc>
          <w:tcPr>
            <w:tcW w:w="1300" w:type="dxa"/>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未腾地征收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5" w:hRule="atLeast"/>
          <w:jc w:val="center"/>
        </w:trPr>
        <w:tc>
          <w:tcPr>
            <w:tcW w:w="789" w:type="dxa"/>
            <w:noWrap/>
            <w:vAlign w:val="center"/>
          </w:tcPr>
          <w:p>
            <w:pPr>
              <w:widowControl/>
              <w:spacing w:line="560" w:lineRule="exact"/>
              <w:jc w:val="center"/>
              <w:textAlignment w:val="center"/>
              <w:rPr>
                <w:rFonts w:ascii="仿宋_GB2312" w:eastAsia="仿宋_GB2312"/>
                <w:color w:val="000000"/>
                <w:sz w:val="24"/>
                <w:szCs w:val="24"/>
              </w:rPr>
            </w:pPr>
            <w:r>
              <w:rPr>
                <w:rFonts w:hint="eastAsia" w:ascii="仿宋_GB2312" w:eastAsia="仿宋_GB2312"/>
                <w:color w:val="000000"/>
                <w:sz w:val="24"/>
                <w:szCs w:val="24"/>
              </w:rPr>
              <w:t>5</w:t>
            </w:r>
          </w:p>
        </w:tc>
        <w:tc>
          <w:tcPr>
            <w:tcW w:w="1312" w:type="dxa"/>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eastAsia="仿宋_GB2312"/>
                <w:color w:val="000000"/>
                <w:sz w:val="24"/>
                <w:szCs w:val="24"/>
              </w:rPr>
              <w:t>保险学院以南地块</w:t>
            </w:r>
          </w:p>
        </w:tc>
        <w:tc>
          <w:tcPr>
            <w:tcW w:w="2670" w:type="dxa"/>
            <w:noWrap/>
            <w:vAlign w:val="center"/>
          </w:tcPr>
          <w:p>
            <w:pPr>
              <w:widowControl/>
              <w:spacing w:line="560" w:lineRule="exact"/>
              <w:jc w:val="center"/>
              <w:textAlignment w:val="center"/>
              <w:rPr>
                <w:rFonts w:ascii="仿宋_GB2312" w:hAnsi="仿宋_GB2312" w:eastAsia="仿宋_GB2312" w:cs="仿宋_GB2312"/>
                <w:color w:val="000000"/>
                <w:kern w:val="0"/>
                <w:sz w:val="24"/>
                <w:szCs w:val="24"/>
              </w:rPr>
            </w:pPr>
            <w:r>
              <w:rPr>
                <w:rFonts w:hint="eastAsia" w:ascii="仿宋_GB2312" w:eastAsia="仿宋_GB2312"/>
                <w:color w:val="000000"/>
                <w:sz w:val="24"/>
                <w:szCs w:val="24"/>
              </w:rPr>
              <w:t>北至保险学院、南至保险学院临中意路飞地、东至洞井和平村、西至中保路。</w:t>
            </w:r>
          </w:p>
        </w:tc>
        <w:tc>
          <w:tcPr>
            <w:tcW w:w="2355" w:type="dxa"/>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sz w:val="24"/>
                <w:szCs w:val="24"/>
              </w:rPr>
              <w:t>净用地面积约25.9亩，容积率1.4，商住用地</w:t>
            </w:r>
          </w:p>
        </w:tc>
        <w:tc>
          <w:tcPr>
            <w:tcW w:w="1176" w:type="dxa"/>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商业综合体</w:t>
            </w:r>
          </w:p>
        </w:tc>
        <w:tc>
          <w:tcPr>
            <w:tcW w:w="1300" w:type="dxa"/>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未腾地征收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789" w:type="dxa"/>
            <w:noWrap/>
            <w:vAlign w:val="center"/>
          </w:tcPr>
          <w:p>
            <w:pPr>
              <w:widowControl/>
              <w:spacing w:line="560" w:lineRule="exact"/>
              <w:jc w:val="center"/>
              <w:textAlignment w:val="center"/>
              <w:rPr>
                <w:rFonts w:ascii="仿宋_GB2312" w:eastAsia="仿宋_GB2312"/>
                <w:color w:val="000000"/>
                <w:sz w:val="24"/>
                <w:szCs w:val="24"/>
              </w:rPr>
            </w:pPr>
            <w:r>
              <w:rPr>
                <w:rFonts w:hint="eastAsia" w:ascii="仿宋_GB2312" w:eastAsia="仿宋_GB2312"/>
                <w:color w:val="000000"/>
                <w:sz w:val="24"/>
                <w:szCs w:val="24"/>
              </w:rPr>
              <w:t>6</w:t>
            </w:r>
          </w:p>
        </w:tc>
        <w:tc>
          <w:tcPr>
            <w:tcW w:w="1312" w:type="dxa"/>
            <w:noWrap/>
            <w:vAlign w:val="center"/>
          </w:tcPr>
          <w:p>
            <w:pPr>
              <w:widowControl/>
              <w:spacing w:line="560" w:lineRule="exact"/>
              <w:jc w:val="center"/>
              <w:textAlignment w:val="center"/>
              <w:rPr>
                <w:rFonts w:ascii="仿宋_GB2312" w:hAnsi="仿宋_GB2312" w:eastAsia="仿宋_GB2312" w:cs="仿宋_GB2312"/>
                <w:color w:val="FF0000"/>
                <w:kern w:val="0"/>
                <w:sz w:val="24"/>
                <w:szCs w:val="24"/>
              </w:rPr>
            </w:pPr>
            <w:r>
              <w:rPr>
                <w:rFonts w:hint="eastAsia" w:ascii="仿宋_GB2312" w:eastAsia="仿宋_GB2312"/>
                <w:color w:val="000000"/>
                <w:sz w:val="24"/>
                <w:szCs w:val="24"/>
              </w:rPr>
              <w:t>芙蓉路与豹塘路东北角地块</w:t>
            </w:r>
          </w:p>
        </w:tc>
        <w:tc>
          <w:tcPr>
            <w:tcW w:w="2670" w:type="dxa"/>
            <w:noWrap/>
            <w:vAlign w:val="center"/>
          </w:tcPr>
          <w:p>
            <w:pPr>
              <w:widowControl/>
              <w:spacing w:line="560" w:lineRule="exact"/>
              <w:jc w:val="center"/>
              <w:textAlignment w:val="center"/>
              <w:rPr>
                <w:rFonts w:ascii="仿宋_GB2312" w:hAnsi="仿宋_GB2312" w:eastAsia="仿宋_GB2312" w:cs="仿宋_GB2312"/>
                <w:color w:val="FF0000"/>
                <w:kern w:val="0"/>
                <w:sz w:val="24"/>
                <w:szCs w:val="24"/>
              </w:rPr>
            </w:pPr>
            <w:r>
              <w:rPr>
                <w:rFonts w:hint="eastAsia" w:ascii="仿宋_GB2312" w:eastAsia="仿宋_GB2312"/>
                <w:color w:val="000000"/>
                <w:sz w:val="24"/>
                <w:szCs w:val="24"/>
              </w:rPr>
              <w:t>北、东临兴汝城住宅小区，南临豹塘路、西临芙蓉路。</w:t>
            </w:r>
          </w:p>
        </w:tc>
        <w:tc>
          <w:tcPr>
            <w:tcW w:w="2355" w:type="dxa"/>
            <w:noWrap/>
            <w:vAlign w:val="center"/>
          </w:tcPr>
          <w:p>
            <w:pPr>
              <w:widowControl/>
              <w:spacing w:line="560" w:lineRule="exact"/>
              <w:jc w:val="center"/>
              <w:textAlignment w:val="center"/>
              <w:rPr>
                <w:rFonts w:ascii="仿宋_GB2312" w:hAnsi="宋体" w:eastAsia="仿宋_GB2312" w:cs="宋体"/>
                <w:color w:val="FF0000"/>
                <w:kern w:val="0"/>
                <w:sz w:val="24"/>
                <w:szCs w:val="24"/>
              </w:rPr>
            </w:pPr>
            <w:r>
              <w:rPr>
                <w:rFonts w:hint="eastAsia" w:ascii="仿宋_GB2312" w:hAnsi="宋体" w:eastAsia="仿宋_GB2312" w:cs="宋体"/>
                <w:color w:val="000000"/>
                <w:sz w:val="24"/>
                <w:szCs w:val="24"/>
              </w:rPr>
              <w:t>净用地面积约44亩，容积率待定，</w:t>
            </w:r>
            <w:r>
              <w:rPr>
                <w:rFonts w:hint="eastAsia" w:ascii="仿宋_GB2312" w:hAnsi="宋体" w:eastAsia="仿宋_GB2312" w:cs="宋体"/>
                <w:color w:val="000000"/>
                <w:sz w:val="24"/>
                <w:szCs w:val="24"/>
                <w:lang w:eastAsia="zh-CN"/>
              </w:rPr>
              <w:t>商业</w:t>
            </w:r>
            <w:r>
              <w:rPr>
                <w:rFonts w:hint="eastAsia" w:ascii="仿宋_GB2312" w:hAnsi="宋体" w:eastAsia="仿宋_GB2312" w:cs="宋体"/>
                <w:color w:val="000000"/>
                <w:sz w:val="24"/>
                <w:szCs w:val="24"/>
              </w:rPr>
              <w:t>用地</w:t>
            </w:r>
          </w:p>
        </w:tc>
        <w:tc>
          <w:tcPr>
            <w:tcW w:w="1176" w:type="dxa"/>
            <w:noWrap/>
            <w:vAlign w:val="center"/>
          </w:tcPr>
          <w:p>
            <w:pPr>
              <w:widowControl/>
              <w:spacing w:line="560" w:lineRule="exact"/>
              <w:jc w:val="center"/>
              <w:textAlignment w:val="center"/>
              <w:rPr>
                <w:rFonts w:ascii="仿宋_GB2312" w:hAnsi="宋体" w:eastAsia="仿宋_GB2312" w:cs="宋体"/>
                <w:color w:val="FF0000"/>
                <w:kern w:val="0"/>
                <w:sz w:val="24"/>
                <w:szCs w:val="24"/>
              </w:rPr>
            </w:pPr>
            <w:r>
              <w:rPr>
                <w:rFonts w:hint="eastAsia" w:ascii="仿宋_GB2312" w:hAnsi="宋体" w:eastAsia="仿宋_GB2312" w:cs="宋体"/>
                <w:color w:val="000000"/>
                <w:kern w:val="0"/>
                <w:sz w:val="24"/>
                <w:szCs w:val="24"/>
              </w:rPr>
              <w:t>商业综合体</w:t>
            </w:r>
          </w:p>
        </w:tc>
        <w:tc>
          <w:tcPr>
            <w:tcW w:w="1300" w:type="dxa"/>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已出租给4S店，可搬迁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789" w:type="dxa"/>
            <w:noWrap/>
            <w:vAlign w:val="center"/>
          </w:tcPr>
          <w:p>
            <w:pPr>
              <w:widowControl/>
              <w:spacing w:line="560" w:lineRule="exact"/>
              <w:jc w:val="center"/>
              <w:textAlignment w:val="center"/>
              <w:rPr>
                <w:rFonts w:ascii="仿宋_GB2312" w:eastAsia="仿宋_GB2312"/>
                <w:color w:val="000000"/>
                <w:sz w:val="24"/>
                <w:szCs w:val="24"/>
              </w:rPr>
            </w:pPr>
            <w:r>
              <w:rPr>
                <w:rFonts w:hint="eastAsia" w:ascii="仿宋_GB2312" w:eastAsia="仿宋_GB2312"/>
                <w:color w:val="000000"/>
                <w:sz w:val="24"/>
                <w:szCs w:val="24"/>
              </w:rPr>
              <w:t>7</w:t>
            </w:r>
          </w:p>
        </w:tc>
        <w:tc>
          <w:tcPr>
            <w:tcW w:w="1312" w:type="dxa"/>
            <w:noWrap/>
            <w:vAlign w:val="center"/>
          </w:tcPr>
          <w:p>
            <w:pPr>
              <w:widowControl/>
              <w:spacing w:line="560" w:lineRule="exact"/>
              <w:jc w:val="center"/>
              <w:textAlignment w:val="center"/>
              <w:rPr>
                <w:rFonts w:ascii="仿宋_GB2312" w:eastAsia="仿宋_GB2312"/>
                <w:color w:val="000000"/>
                <w:sz w:val="24"/>
                <w:szCs w:val="24"/>
              </w:rPr>
            </w:pPr>
            <w:r>
              <w:rPr>
                <w:rFonts w:hint="eastAsia" w:ascii="仿宋_GB2312" w:eastAsia="仿宋_GB2312"/>
                <w:color w:val="000000"/>
                <w:sz w:val="24"/>
                <w:szCs w:val="24"/>
              </w:rPr>
              <w:t>家具小区地块</w:t>
            </w:r>
          </w:p>
        </w:tc>
        <w:tc>
          <w:tcPr>
            <w:tcW w:w="2670" w:type="dxa"/>
            <w:noWrap/>
            <w:vAlign w:val="center"/>
          </w:tcPr>
          <w:p>
            <w:pPr>
              <w:widowControl/>
              <w:spacing w:line="560" w:lineRule="exact"/>
              <w:jc w:val="center"/>
              <w:textAlignment w:val="center"/>
              <w:rPr>
                <w:rFonts w:ascii="仿宋_GB2312" w:eastAsia="仿宋_GB2312"/>
                <w:color w:val="000000"/>
                <w:sz w:val="24"/>
                <w:szCs w:val="24"/>
              </w:rPr>
            </w:pPr>
            <w:r>
              <w:rPr>
                <w:rFonts w:hint="eastAsia" w:ascii="仿宋_GB2312" w:eastAsia="仿宋_GB2312"/>
                <w:color w:val="000000"/>
                <w:sz w:val="24"/>
                <w:szCs w:val="24"/>
              </w:rPr>
              <w:t>北至君尚嘉筑、南至时代阳光大道、东至沙场路、西至刘家冲路。</w:t>
            </w:r>
          </w:p>
        </w:tc>
        <w:tc>
          <w:tcPr>
            <w:tcW w:w="2355" w:type="dxa"/>
            <w:noWrap/>
            <w:vAlign w:val="center"/>
          </w:tcPr>
          <w:p>
            <w:pPr>
              <w:widowControl/>
              <w:spacing w:line="560" w:lineRule="exact"/>
              <w:jc w:val="center"/>
              <w:textAlignment w:val="center"/>
              <w:rPr>
                <w:rFonts w:ascii="仿宋_GB2312" w:hAnsi="宋体" w:eastAsia="仿宋_GB2312" w:cs="宋体"/>
                <w:color w:val="000000"/>
                <w:sz w:val="24"/>
                <w:szCs w:val="24"/>
              </w:rPr>
            </w:pPr>
            <w:r>
              <w:rPr>
                <w:rFonts w:hint="eastAsia" w:ascii="仿宋_GB2312" w:eastAsia="仿宋_GB2312"/>
                <w:color w:val="000000"/>
                <w:sz w:val="24"/>
                <w:szCs w:val="24"/>
              </w:rPr>
              <w:t>净用地面积约190亩，容积率2.0，工业用地</w:t>
            </w:r>
          </w:p>
        </w:tc>
        <w:tc>
          <w:tcPr>
            <w:tcW w:w="1176" w:type="dxa"/>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大型综合项目开发</w:t>
            </w:r>
          </w:p>
        </w:tc>
        <w:tc>
          <w:tcPr>
            <w:tcW w:w="1300" w:type="dxa"/>
            <w:noWrap/>
            <w:vAlign w:val="center"/>
          </w:tcPr>
          <w:p>
            <w:pPr>
              <w:widowControl/>
              <w:spacing w:line="560" w:lineRule="exact"/>
              <w:jc w:val="center"/>
              <w:textAlignment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已出租给各企业，可搬迁</w:t>
            </w:r>
          </w:p>
        </w:tc>
      </w:tr>
    </w:tbl>
    <w:p>
      <w:pPr>
        <w:numPr>
          <w:ilvl w:val="0"/>
          <w:numId w:val="4"/>
        </w:numPr>
        <w:spacing w:beforeLines="50" w:afterLines="50" w:line="560" w:lineRule="exact"/>
        <w:rPr>
          <w:rFonts w:hint="eastAsia" w:ascii="仿宋_GB2312" w:hAnsi="仿宋" w:eastAsia="仿宋_GB2312" w:cs="宋体"/>
          <w:b/>
          <w:bCs/>
          <w:sz w:val="32"/>
          <w:szCs w:val="32"/>
        </w:rPr>
      </w:pPr>
      <w:r>
        <w:rPr>
          <w:rFonts w:hint="eastAsia" w:ascii="仿宋_GB2312" w:hAnsi="仿宋" w:eastAsia="仿宋_GB2312" w:cs="宋体"/>
          <w:b/>
          <w:bCs/>
          <w:sz w:val="32"/>
          <w:szCs w:val="32"/>
          <w:lang w:eastAsia="zh-CN"/>
        </w:rPr>
        <w:t>其他</w:t>
      </w:r>
      <w:r>
        <w:rPr>
          <w:rFonts w:hint="eastAsia" w:ascii="仿宋_GB2312" w:hAnsi="仿宋" w:eastAsia="仿宋_GB2312" w:cs="宋体"/>
          <w:b/>
          <w:bCs/>
          <w:sz w:val="32"/>
          <w:szCs w:val="32"/>
        </w:rPr>
        <w:t>相关地块</w:t>
      </w:r>
    </w:p>
    <w:tbl>
      <w:tblPr>
        <w:tblStyle w:val="7"/>
        <w:tblW w:w="9665" w:type="dxa"/>
        <w:jc w:val="center"/>
        <w:tblInd w:w="-1654" w:type="dxa"/>
        <w:tblLayout w:type="fixed"/>
        <w:tblCellMar>
          <w:top w:w="15" w:type="dxa"/>
          <w:left w:w="15" w:type="dxa"/>
          <w:bottom w:w="15" w:type="dxa"/>
          <w:right w:w="15" w:type="dxa"/>
        </w:tblCellMar>
      </w:tblPr>
      <w:tblGrid>
        <w:gridCol w:w="937"/>
        <w:gridCol w:w="1107"/>
        <w:gridCol w:w="2670"/>
        <w:gridCol w:w="2214"/>
        <w:gridCol w:w="1275"/>
        <w:gridCol w:w="1462"/>
      </w:tblGrid>
      <w:tr>
        <w:tblPrEx>
          <w:tblLayout w:type="fixed"/>
          <w:tblCellMar>
            <w:top w:w="15" w:type="dxa"/>
            <w:left w:w="15" w:type="dxa"/>
            <w:bottom w:w="15" w:type="dxa"/>
            <w:right w:w="15" w:type="dxa"/>
          </w:tblCellMar>
        </w:tblPrEx>
        <w:trPr>
          <w:trHeight w:val="457" w:hRule="atLeast"/>
          <w:jc w:val="center"/>
        </w:trPr>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黑体" w:hAnsi="黑体" w:eastAsia="黑体" w:cs="仿宋_GB2312"/>
                <w:color w:val="000000"/>
                <w:kern w:val="0"/>
                <w:sz w:val="24"/>
                <w:szCs w:val="24"/>
                <w:lang w:eastAsia="zh-CN" w:bidi="ar"/>
              </w:rPr>
            </w:pPr>
            <w:r>
              <w:rPr>
                <w:rFonts w:hint="eastAsia" w:ascii="黑体" w:hAnsi="黑体" w:eastAsia="黑体" w:cs="仿宋_GB2312"/>
                <w:color w:val="000000"/>
                <w:kern w:val="0"/>
                <w:sz w:val="24"/>
                <w:szCs w:val="24"/>
                <w:lang w:eastAsia="zh-CN" w:bidi="ar"/>
              </w:rPr>
              <w:t>序号</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黑体" w:hAnsi="黑体" w:eastAsia="黑体" w:cs="仿宋_GB2312"/>
                <w:color w:val="000000"/>
                <w:sz w:val="24"/>
                <w:szCs w:val="24"/>
              </w:rPr>
            </w:pPr>
            <w:r>
              <w:rPr>
                <w:rFonts w:hint="eastAsia" w:ascii="黑体" w:hAnsi="黑体" w:eastAsia="黑体" w:cs="仿宋_GB2312"/>
                <w:color w:val="000000"/>
                <w:kern w:val="0"/>
                <w:sz w:val="24"/>
                <w:szCs w:val="24"/>
                <w:lang w:bidi="ar"/>
              </w:rPr>
              <w:t>地块名称</w:t>
            </w:r>
          </w:p>
        </w:tc>
        <w:tc>
          <w:tcPr>
            <w:tcW w:w="267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黑体" w:hAnsi="黑体" w:eastAsia="黑体" w:cs="仿宋_GB2312"/>
                <w:color w:val="000000"/>
                <w:sz w:val="24"/>
                <w:szCs w:val="24"/>
              </w:rPr>
            </w:pPr>
            <w:r>
              <w:rPr>
                <w:rFonts w:hint="eastAsia" w:ascii="黑体" w:hAnsi="黑体" w:eastAsia="黑体" w:cs="仿宋_GB2312"/>
                <w:color w:val="000000"/>
                <w:kern w:val="0"/>
                <w:sz w:val="24"/>
                <w:szCs w:val="24"/>
                <w:lang w:bidi="ar"/>
              </w:rPr>
              <w:t>地块范围</w:t>
            </w:r>
          </w:p>
        </w:tc>
        <w:tc>
          <w:tcPr>
            <w:tcW w:w="221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黑体" w:hAnsi="黑体" w:eastAsia="黑体" w:cs="仿宋_GB2312"/>
                <w:color w:val="000000"/>
                <w:sz w:val="24"/>
                <w:szCs w:val="24"/>
              </w:rPr>
            </w:pPr>
            <w:r>
              <w:rPr>
                <w:rFonts w:hint="eastAsia" w:ascii="黑体" w:hAnsi="黑体" w:eastAsia="黑体" w:cs="仿宋_GB2312"/>
                <w:color w:val="000000"/>
                <w:kern w:val="0"/>
                <w:sz w:val="24"/>
                <w:szCs w:val="24"/>
                <w:lang w:bidi="ar"/>
              </w:rPr>
              <w:t>地块指标</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黑体" w:hAnsi="黑体" w:eastAsia="黑体" w:cs="仿宋_GB2312"/>
                <w:color w:val="000000"/>
                <w:kern w:val="0"/>
                <w:sz w:val="24"/>
                <w:szCs w:val="24"/>
                <w:lang w:bidi="ar"/>
              </w:rPr>
            </w:pPr>
            <w:r>
              <w:rPr>
                <w:rFonts w:hint="eastAsia" w:ascii="黑体" w:hAnsi="黑体" w:eastAsia="黑体" w:cs="仿宋_GB2312"/>
                <w:color w:val="000000"/>
                <w:kern w:val="0"/>
                <w:sz w:val="24"/>
                <w:szCs w:val="24"/>
                <w:lang w:bidi="ar"/>
              </w:rPr>
              <w:t>地块定位</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黑体" w:hAnsi="黑体" w:eastAsia="黑体" w:cs="仿宋_GB2312"/>
                <w:color w:val="000000"/>
                <w:kern w:val="0"/>
                <w:sz w:val="24"/>
                <w:szCs w:val="24"/>
                <w:lang w:eastAsia="zh-CN" w:bidi="ar"/>
              </w:rPr>
            </w:pPr>
            <w:r>
              <w:rPr>
                <w:rFonts w:hint="eastAsia" w:ascii="黑体" w:hAnsi="黑体" w:eastAsia="黑体" w:cs="仿宋_GB2312"/>
                <w:color w:val="000000"/>
                <w:kern w:val="0"/>
                <w:sz w:val="24"/>
                <w:szCs w:val="24"/>
                <w:lang w:bidi="ar"/>
              </w:rPr>
              <w:t>地块</w:t>
            </w:r>
            <w:r>
              <w:rPr>
                <w:rFonts w:hint="eastAsia" w:ascii="黑体" w:hAnsi="黑体" w:eastAsia="黑体" w:cs="仿宋_GB2312"/>
                <w:color w:val="000000"/>
                <w:kern w:val="0"/>
                <w:sz w:val="24"/>
                <w:szCs w:val="24"/>
                <w:lang w:eastAsia="zh-CN" w:bidi="ar"/>
              </w:rPr>
              <w:t>现状</w:t>
            </w:r>
          </w:p>
        </w:tc>
      </w:tr>
      <w:tr>
        <w:tblPrEx>
          <w:tblLayout w:type="fixed"/>
          <w:tblCellMar>
            <w:top w:w="15" w:type="dxa"/>
            <w:left w:w="15" w:type="dxa"/>
            <w:bottom w:w="15" w:type="dxa"/>
            <w:right w:w="15" w:type="dxa"/>
          </w:tblCellMar>
        </w:tblPrEx>
        <w:trPr>
          <w:trHeight w:val="1610" w:hRule="atLeast"/>
          <w:jc w:val="center"/>
        </w:trPr>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1</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eastAsia="zh-CN"/>
              </w:rPr>
              <w:t>鑫远地产</w:t>
            </w:r>
            <w:r>
              <w:rPr>
                <w:rFonts w:hint="eastAsia" w:ascii="仿宋_GB2312" w:eastAsia="仿宋_GB2312"/>
                <w:color w:val="000000"/>
                <w:sz w:val="24"/>
                <w:szCs w:val="24"/>
                <w:lang w:val="en-US" w:eastAsia="zh-CN"/>
              </w:rPr>
              <w:t>D24地块</w:t>
            </w:r>
          </w:p>
        </w:tc>
        <w:tc>
          <w:tcPr>
            <w:tcW w:w="267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eastAsia="仿宋_GB2312"/>
                <w:color w:val="000000"/>
                <w:sz w:val="24"/>
                <w:szCs w:val="24"/>
                <w:lang w:eastAsia="zh-CN"/>
              </w:rPr>
            </w:pPr>
            <w:r>
              <w:rPr>
                <w:rFonts w:hint="eastAsia" w:ascii="仿宋_GB2312" w:eastAsia="仿宋_GB2312"/>
                <w:color w:val="000000"/>
                <w:sz w:val="24"/>
                <w:szCs w:val="24"/>
                <w:lang w:eastAsia="zh-CN"/>
              </w:rPr>
              <w:t>御邦路以南、芙蓉南路以西，</w:t>
            </w:r>
            <w:r>
              <w:rPr>
                <w:rFonts w:hint="eastAsia" w:ascii="仿宋_GB2312" w:eastAsia="仿宋_GB2312"/>
                <w:color w:val="000000"/>
                <w:sz w:val="24"/>
                <w:szCs w:val="24"/>
                <w:lang w:val="en-US" w:eastAsia="zh-CN"/>
              </w:rPr>
              <w:t>D26地块以西</w:t>
            </w:r>
          </w:p>
        </w:tc>
        <w:tc>
          <w:tcPr>
            <w:tcW w:w="221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eastAsia="仿宋_GB2312"/>
                <w:color w:val="000000"/>
                <w:sz w:val="24"/>
                <w:szCs w:val="24"/>
                <w:lang w:val="en-US" w:eastAsia="zh-CN"/>
              </w:rPr>
            </w:pPr>
            <w:r>
              <w:rPr>
                <w:rFonts w:hint="eastAsia" w:ascii="仿宋_GB2312" w:eastAsia="仿宋_GB2312"/>
                <w:color w:val="000000"/>
                <w:sz w:val="24"/>
                <w:szCs w:val="24"/>
                <w:lang w:eastAsia="zh-CN"/>
              </w:rPr>
              <w:t>净地面积约</w:t>
            </w:r>
            <w:r>
              <w:rPr>
                <w:rFonts w:hint="eastAsia" w:ascii="仿宋_GB2312" w:eastAsia="仿宋_GB2312"/>
                <w:color w:val="000000"/>
                <w:sz w:val="24"/>
                <w:szCs w:val="24"/>
                <w:lang w:val="en-US" w:eastAsia="zh-CN"/>
              </w:rPr>
              <w:t>42.1亩，容积率2.5，商业用地</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eastAsia="仿宋_GB2312"/>
                <w:color w:val="000000"/>
                <w:sz w:val="24"/>
                <w:szCs w:val="24"/>
                <w:lang w:eastAsia="zh-CN"/>
              </w:rPr>
            </w:pPr>
            <w:r>
              <w:rPr>
                <w:rFonts w:hint="eastAsia" w:ascii="仿宋_GB2312" w:eastAsia="仿宋_GB2312"/>
                <w:color w:val="000000"/>
                <w:sz w:val="24"/>
                <w:szCs w:val="24"/>
                <w:lang w:eastAsia="zh-CN"/>
              </w:rPr>
              <w:t>商业综合体</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eastAsia="仿宋_GB2312"/>
                <w:color w:val="000000"/>
                <w:sz w:val="24"/>
                <w:szCs w:val="24"/>
                <w:lang w:eastAsia="zh-CN"/>
              </w:rPr>
            </w:pPr>
            <w:r>
              <w:rPr>
                <w:rFonts w:hint="eastAsia" w:ascii="仿宋_GB2312" w:eastAsia="仿宋_GB2312"/>
                <w:color w:val="000000"/>
                <w:sz w:val="24"/>
                <w:szCs w:val="24"/>
                <w:lang w:eastAsia="zh-CN"/>
              </w:rPr>
              <w:t>产权归鑫远地产，待招商</w:t>
            </w:r>
          </w:p>
        </w:tc>
      </w:tr>
      <w:tr>
        <w:tblPrEx>
          <w:tblLayout w:type="fixed"/>
          <w:tblCellMar>
            <w:top w:w="15" w:type="dxa"/>
            <w:left w:w="15" w:type="dxa"/>
            <w:bottom w:w="15" w:type="dxa"/>
            <w:right w:w="15" w:type="dxa"/>
          </w:tblCellMar>
        </w:tblPrEx>
        <w:trPr>
          <w:trHeight w:val="613" w:hRule="atLeast"/>
          <w:jc w:val="center"/>
        </w:trPr>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2</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eastAsia="仿宋_GB2312"/>
                <w:color w:val="000000"/>
                <w:sz w:val="24"/>
                <w:szCs w:val="24"/>
              </w:rPr>
            </w:pPr>
            <w:r>
              <w:rPr>
                <w:rFonts w:hint="eastAsia" w:ascii="仿宋_GB2312" w:eastAsia="仿宋_GB2312"/>
                <w:color w:val="000000"/>
                <w:sz w:val="24"/>
                <w:szCs w:val="24"/>
                <w:lang w:eastAsia="zh-CN"/>
              </w:rPr>
              <w:t>鑫远地产</w:t>
            </w:r>
            <w:r>
              <w:rPr>
                <w:rFonts w:hint="eastAsia" w:ascii="仿宋_GB2312" w:eastAsia="仿宋_GB2312"/>
                <w:color w:val="000000"/>
                <w:sz w:val="24"/>
                <w:szCs w:val="24"/>
                <w:lang w:val="en-US" w:eastAsia="zh-CN"/>
              </w:rPr>
              <w:t>D26地块</w:t>
            </w:r>
          </w:p>
        </w:tc>
        <w:tc>
          <w:tcPr>
            <w:tcW w:w="267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eastAsia="仿宋_GB2312"/>
                <w:color w:val="000000"/>
                <w:sz w:val="24"/>
                <w:szCs w:val="24"/>
                <w:lang w:val="en-US"/>
              </w:rPr>
            </w:pPr>
            <w:r>
              <w:rPr>
                <w:rFonts w:hint="eastAsia" w:ascii="仿宋_GB2312" w:eastAsia="仿宋_GB2312"/>
                <w:color w:val="000000"/>
                <w:sz w:val="24"/>
                <w:szCs w:val="24"/>
                <w:lang w:eastAsia="zh-CN"/>
              </w:rPr>
              <w:t>御邦路以南、芙蓉南路以西，</w:t>
            </w:r>
            <w:r>
              <w:rPr>
                <w:rFonts w:hint="eastAsia" w:ascii="仿宋_GB2312" w:eastAsia="仿宋_GB2312"/>
                <w:color w:val="000000"/>
                <w:sz w:val="24"/>
                <w:szCs w:val="24"/>
                <w:lang w:val="en-US" w:eastAsia="zh-CN"/>
              </w:rPr>
              <w:t>D24地块以东</w:t>
            </w:r>
          </w:p>
        </w:tc>
        <w:tc>
          <w:tcPr>
            <w:tcW w:w="221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eastAsia="仿宋_GB2312"/>
                <w:color w:val="000000"/>
                <w:sz w:val="24"/>
                <w:szCs w:val="24"/>
              </w:rPr>
            </w:pPr>
            <w:r>
              <w:rPr>
                <w:rFonts w:hint="eastAsia" w:ascii="仿宋_GB2312" w:eastAsia="仿宋_GB2312"/>
                <w:color w:val="000000"/>
                <w:sz w:val="24"/>
                <w:szCs w:val="24"/>
                <w:lang w:eastAsia="zh-CN"/>
              </w:rPr>
              <w:t>净地面积约</w:t>
            </w:r>
            <w:r>
              <w:rPr>
                <w:rFonts w:hint="eastAsia" w:ascii="仿宋_GB2312" w:eastAsia="仿宋_GB2312"/>
                <w:color w:val="000000"/>
                <w:sz w:val="24"/>
                <w:szCs w:val="24"/>
                <w:lang w:val="en-US" w:eastAsia="zh-CN"/>
              </w:rPr>
              <w:t>39.35亩，容积率2.5，商业用地</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eastAsia="仿宋_GB2312"/>
                <w:color w:val="000000"/>
                <w:sz w:val="24"/>
                <w:szCs w:val="24"/>
                <w:lang w:eastAsia="zh-CN"/>
              </w:rPr>
            </w:pPr>
            <w:r>
              <w:rPr>
                <w:rFonts w:hint="eastAsia" w:ascii="仿宋_GB2312" w:eastAsia="仿宋_GB2312"/>
                <w:color w:val="000000"/>
                <w:sz w:val="24"/>
                <w:szCs w:val="24"/>
                <w:lang w:eastAsia="zh-CN"/>
              </w:rPr>
              <w:t>商业综合体</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eastAsia="仿宋_GB2312"/>
                <w:color w:val="000000"/>
                <w:sz w:val="24"/>
                <w:szCs w:val="24"/>
                <w:lang w:eastAsia="zh-CN"/>
              </w:rPr>
            </w:pPr>
            <w:r>
              <w:rPr>
                <w:rFonts w:hint="eastAsia" w:ascii="仿宋_GB2312" w:eastAsia="仿宋_GB2312"/>
                <w:color w:val="000000"/>
                <w:sz w:val="24"/>
                <w:szCs w:val="24"/>
                <w:lang w:eastAsia="zh-CN"/>
              </w:rPr>
              <w:t>产权归鑫远地产，待招商</w:t>
            </w:r>
          </w:p>
        </w:tc>
      </w:tr>
      <w:tr>
        <w:tblPrEx>
          <w:tblLayout w:type="fixed"/>
          <w:tblCellMar>
            <w:top w:w="15" w:type="dxa"/>
            <w:left w:w="15" w:type="dxa"/>
            <w:bottom w:w="15" w:type="dxa"/>
            <w:right w:w="15" w:type="dxa"/>
          </w:tblCellMar>
        </w:tblPrEx>
        <w:trPr>
          <w:trHeight w:val="613" w:hRule="atLeast"/>
          <w:jc w:val="center"/>
        </w:trPr>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3</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eastAsia="仿宋_GB2312"/>
                <w:color w:val="000000"/>
                <w:sz w:val="24"/>
                <w:szCs w:val="24"/>
                <w:lang w:eastAsia="zh-CN"/>
              </w:rPr>
            </w:pPr>
            <w:r>
              <w:rPr>
                <w:rFonts w:hint="eastAsia" w:ascii="仿宋_GB2312" w:eastAsia="仿宋_GB2312"/>
                <w:color w:val="000000"/>
                <w:sz w:val="24"/>
                <w:szCs w:val="24"/>
                <w:lang w:eastAsia="zh-CN"/>
              </w:rPr>
              <w:t>长大集团设备科地块</w:t>
            </w:r>
          </w:p>
        </w:tc>
        <w:tc>
          <w:tcPr>
            <w:tcW w:w="267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eastAsia="仿宋_GB2312"/>
                <w:color w:val="000000"/>
                <w:sz w:val="24"/>
                <w:szCs w:val="24"/>
                <w:lang w:eastAsia="zh-CN"/>
              </w:rPr>
            </w:pPr>
            <w:r>
              <w:rPr>
                <w:rFonts w:hint="eastAsia" w:ascii="仿宋_GB2312" w:eastAsia="仿宋_GB2312"/>
                <w:color w:val="000000"/>
                <w:sz w:val="24"/>
                <w:szCs w:val="24"/>
                <w:lang w:eastAsia="zh-CN"/>
              </w:rPr>
              <w:t>芙蓉南路与披塘路交叉东南角</w:t>
            </w:r>
          </w:p>
        </w:tc>
        <w:tc>
          <w:tcPr>
            <w:tcW w:w="221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仿宋_GB2312" w:eastAsia="仿宋_GB2312"/>
                <w:color w:val="000000"/>
                <w:sz w:val="24"/>
                <w:szCs w:val="24"/>
                <w:lang w:val="en-US" w:eastAsia="zh-CN"/>
              </w:rPr>
            </w:pPr>
            <w:r>
              <w:rPr>
                <w:rFonts w:hint="eastAsia" w:ascii="仿宋_GB2312" w:eastAsia="仿宋_GB2312"/>
                <w:color w:val="000000"/>
                <w:sz w:val="24"/>
                <w:szCs w:val="24"/>
                <w:lang w:eastAsia="zh-CN"/>
              </w:rPr>
              <w:t>占地面积</w:t>
            </w:r>
            <w:r>
              <w:rPr>
                <w:rFonts w:hint="eastAsia" w:ascii="仿宋_GB2312" w:eastAsia="仿宋_GB2312"/>
                <w:color w:val="000000"/>
                <w:sz w:val="24"/>
                <w:szCs w:val="24"/>
                <w:lang w:val="en-US" w:eastAsia="zh-CN"/>
              </w:rPr>
              <w:t>30亩，其中15亩已建成停车场</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eastAsia="仿宋_GB2312"/>
                <w:color w:val="000000"/>
                <w:sz w:val="24"/>
                <w:szCs w:val="24"/>
                <w:lang w:eastAsia="zh-CN"/>
              </w:rPr>
            </w:pPr>
            <w:r>
              <w:rPr>
                <w:rFonts w:hint="eastAsia" w:ascii="仿宋_GB2312" w:eastAsia="仿宋_GB2312"/>
                <w:color w:val="000000"/>
                <w:sz w:val="24"/>
                <w:szCs w:val="24"/>
                <w:lang w:eastAsia="zh-CN"/>
              </w:rPr>
              <w:t>大型停车场</w:t>
            </w:r>
          </w:p>
        </w:tc>
        <w:tc>
          <w:tcPr>
            <w:tcW w:w="146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eastAsia="仿宋_GB2312"/>
                <w:color w:val="000000"/>
                <w:sz w:val="24"/>
                <w:szCs w:val="24"/>
                <w:lang w:eastAsia="zh-CN"/>
              </w:rPr>
            </w:pPr>
            <w:r>
              <w:rPr>
                <w:rFonts w:hint="eastAsia" w:ascii="仿宋_GB2312" w:eastAsia="仿宋_GB2312"/>
                <w:color w:val="000000"/>
                <w:sz w:val="24"/>
                <w:szCs w:val="24"/>
                <w:lang w:eastAsia="zh-CN"/>
              </w:rPr>
              <w:t>产权归长大集团，现招停车场承包商</w:t>
            </w:r>
          </w:p>
        </w:tc>
      </w:tr>
    </w:tbl>
    <w:p>
      <w:pPr>
        <w:numPr>
          <w:ilvl w:val="0"/>
          <w:numId w:val="0"/>
        </w:numPr>
        <w:spacing w:beforeLines="50" w:afterLines="50" w:line="560" w:lineRule="exact"/>
        <w:rPr>
          <w:rFonts w:hint="eastAsia" w:ascii="仿宋_GB2312" w:hAnsi="仿宋" w:eastAsia="仿宋_GB2312" w:cs="宋体"/>
          <w:b/>
          <w:bCs/>
          <w:sz w:val="32"/>
          <w:szCs w:val="32"/>
        </w:rPr>
      </w:pPr>
    </w:p>
    <w:p>
      <w:pPr>
        <w:spacing w:beforeLines="50" w:afterLines="50"/>
        <w:ind w:firstLine="627" w:firstLineChars="196"/>
        <w:rPr>
          <w:rFonts w:ascii="楷体" w:hAnsi="楷体" w:eastAsia="楷体"/>
          <w:color w:val="000000"/>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仿宋">
    <w:altName w:val="微软雅黑"/>
    <w:panose1 w:val="02010609060101010101"/>
    <w:charset w:val="86"/>
    <w:family w:val="auto"/>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楷体">
    <w:altName w:val="楷体_GB2312"/>
    <w:panose1 w:val="02010609060101010101"/>
    <w:charset w:val="86"/>
    <w:family w:val="modern"/>
    <w:pitch w:val="default"/>
    <w:sig w:usb0="00000000" w:usb1="00000000" w:usb2="00000016" w:usb3="00000000" w:csb0="00040001"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61007A87" w:usb1="80000000" w:usb2="00000008"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10F89F"/>
    <w:multiLevelType w:val="singleLevel"/>
    <w:tmpl w:val="A110F89F"/>
    <w:lvl w:ilvl="0" w:tentative="0">
      <w:start w:val="1"/>
      <w:numFmt w:val="decimal"/>
      <w:suff w:val="nothing"/>
      <w:lvlText w:val="%1、"/>
      <w:lvlJc w:val="left"/>
    </w:lvl>
  </w:abstractNum>
  <w:abstractNum w:abstractNumId="1">
    <w:nsid w:val="E28AD433"/>
    <w:multiLevelType w:val="singleLevel"/>
    <w:tmpl w:val="E28AD433"/>
    <w:lvl w:ilvl="0" w:tentative="0">
      <w:start w:val="2"/>
      <w:numFmt w:val="chineseCounting"/>
      <w:suff w:val="nothing"/>
      <w:lvlText w:val="（%1）"/>
      <w:lvlJc w:val="left"/>
      <w:rPr>
        <w:rFonts w:hint="eastAsia"/>
      </w:rPr>
    </w:lvl>
  </w:abstractNum>
  <w:abstractNum w:abstractNumId="2">
    <w:nsid w:val="F726E2A7"/>
    <w:multiLevelType w:val="singleLevel"/>
    <w:tmpl w:val="F726E2A7"/>
    <w:lvl w:ilvl="0" w:tentative="0">
      <w:start w:val="1"/>
      <w:numFmt w:val="chineseCounting"/>
      <w:suff w:val="nothing"/>
      <w:lvlText w:val="（%1）"/>
      <w:lvlJc w:val="left"/>
      <w:rPr>
        <w:rFonts w:hint="eastAsia"/>
      </w:rPr>
    </w:lvl>
  </w:abstractNum>
  <w:abstractNum w:abstractNumId="3">
    <w:nsid w:val="1942B222"/>
    <w:multiLevelType w:val="singleLevel"/>
    <w:tmpl w:val="1942B222"/>
    <w:lvl w:ilvl="0" w:tentative="0">
      <w:start w:val="5"/>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21EC"/>
    <w:rsid w:val="004D5D0B"/>
    <w:rsid w:val="005A488D"/>
    <w:rsid w:val="00691880"/>
    <w:rsid w:val="006E63A4"/>
    <w:rsid w:val="007947DD"/>
    <w:rsid w:val="0081577A"/>
    <w:rsid w:val="00B07DF5"/>
    <w:rsid w:val="00CC0DB0"/>
    <w:rsid w:val="00FA71BB"/>
    <w:rsid w:val="013F06C3"/>
    <w:rsid w:val="01604772"/>
    <w:rsid w:val="016249E4"/>
    <w:rsid w:val="01C047EA"/>
    <w:rsid w:val="01DE1619"/>
    <w:rsid w:val="022E66D0"/>
    <w:rsid w:val="028A4881"/>
    <w:rsid w:val="02B92244"/>
    <w:rsid w:val="02DA2357"/>
    <w:rsid w:val="034D2262"/>
    <w:rsid w:val="03A07815"/>
    <w:rsid w:val="04874EEE"/>
    <w:rsid w:val="04876BB5"/>
    <w:rsid w:val="04A83D92"/>
    <w:rsid w:val="04CD7101"/>
    <w:rsid w:val="053D6604"/>
    <w:rsid w:val="058F0357"/>
    <w:rsid w:val="059B6D7F"/>
    <w:rsid w:val="05A2037E"/>
    <w:rsid w:val="05AF3FD7"/>
    <w:rsid w:val="05B84632"/>
    <w:rsid w:val="060353B4"/>
    <w:rsid w:val="06141566"/>
    <w:rsid w:val="062A560A"/>
    <w:rsid w:val="06382EE3"/>
    <w:rsid w:val="069C17C5"/>
    <w:rsid w:val="06BE52DE"/>
    <w:rsid w:val="06CC7174"/>
    <w:rsid w:val="070E644D"/>
    <w:rsid w:val="073A4F6E"/>
    <w:rsid w:val="07831F11"/>
    <w:rsid w:val="07A1759A"/>
    <w:rsid w:val="07CD3E79"/>
    <w:rsid w:val="080624A2"/>
    <w:rsid w:val="08152BB8"/>
    <w:rsid w:val="082F777A"/>
    <w:rsid w:val="084F121C"/>
    <w:rsid w:val="0861650C"/>
    <w:rsid w:val="08803B2E"/>
    <w:rsid w:val="088229A3"/>
    <w:rsid w:val="08872505"/>
    <w:rsid w:val="08956AC6"/>
    <w:rsid w:val="08A22DFC"/>
    <w:rsid w:val="08EE1526"/>
    <w:rsid w:val="092F0F25"/>
    <w:rsid w:val="093E61EA"/>
    <w:rsid w:val="094F2968"/>
    <w:rsid w:val="097868B0"/>
    <w:rsid w:val="097B5E8B"/>
    <w:rsid w:val="0989597F"/>
    <w:rsid w:val="098C5164"/>
    <w:rsid w:val="09965671"/>
    <w:rsid w:val="09AC171E"/>
    <w:rsid w:val="0A101DAD"/>
    <w:rsid w:val="0A160E10"/>
    <w:rsid w:val="0A2330AB"/>
    <w:rsid w:val="0A45233C"/>
    <w:rsid w:val="0A6B32D8"/>
    <w:rsid w:val="0A867F2C"/>
    <w:rsid w:val="0A8D36A3"/>
    <w:rsid w:val="0A8D37B5"/>
    <w:rsid w:val="0ADF1E87"/>
    <w:rsid w:val="0AFD4BE8"/>
    <w:rsid w:val="0B3D4A2E"/>
    <w:rsid w:val="0B4744C4"/>
    <w:rsid w:val="0B490DB3"/>
    <w:rsid w:val="0B8C6B33"/>
    <w:rsid w:val="0B8E72A0"/>
    <w:rsid w:val="0B9C5A38"/>
    <w:rsid w:val="0BDB60FF"/>
    <w:rsid w:val="0C183FB1"/>
    <w:rsid w:val="0C5616D8"/>
    <w:rsid w:val="0C5A48C8"/>
    <w:rsid w:val="0C63661B"/>
    <w:rsid w:val="0CB0351A"/>
    <w:rsid w:val="0CE6504B"/>
    <w:rsid w:val="0D397FAB"/>
    <w:rsid w:val="0D5B1F98"/>
    <w:rsid w:val="0D6E459E"/>
    <w:rsid w:val="0D781448"/>
    <w:rsid w:val="0D805D74"/>
    <w:rsid w:val="0D875627"/>
    <w:rsid w:val="0D8E7B82"/>
    <w:rsid w:val="0DA748DD"/>
    <w:rsid w:val="0DBE4BDA"/>
    <w:rsid w:val="0DD50A40"/>
    <w:rsid w:val="0DE8590B"/>
    <w:rsid w:val="0DFC4C32"/>
    <w:rsid w:val="0E123EDD"/>
    <w:rsid w:val="0E2071AB"/>
    <w:rsid w:val="0E4169C7"/>
    <w:rsid w:val="0E8C5D29"/>
    <w:rsid w:val="0E9203FA"/>
    <w:rsid w:val="0E9D32DA"/>
    <w:rsid w:val="0EAE79F9"/>
    <w:rsid w:val="0EB638BB"/>
    <w:rsid w:val="0EB64EB5"/>
    <w:rsid w:val="0F1B6EBF"/>
    <w:rsid w:val="0F3E31C6"/>
    <w:rsid w:val="0FA81AB3"/>
    <w:rsid w:val="0FB6105B"/>
    <w:rsid w:val="100E7568"/>
    <w:rsid w:val="101C71FD"/>
    <w:rsid w:val="107B7DEF"/>
    <w:rsid w:val="10B93F73"/>
    <w:rsid w:val="10E6704D"/>
    <w:rsid w:val="11303826"/>
    <w:rsid w:val="11395A0C"/>
    <w:rsid w:val="119C5E9E"/>
    <w:rsid w:val="11A80862"/>
    <w:rsid w:val="11BD11DB"/>
    <w:rsid w:val="11E71A15"/>
    <w:rsid w:val="11ED5D17"/>
    <w:rsid w:val="122E5EC0"/>
    <w:rsid w:val="122F4240"/>
    <w:rsid w:val="1290161D"/>
    <w:rsid w:val="12F750BE"/>
    <w:rsid w:val="135E7F7C"/>
    <w:rsid w:val="13C14C66"/>
    <w:rsid w:val="13F55F05"/>
    <w:rsid w:val="140402A9"/>
    <w:rsid w:val="1459552B"/>
    <w:rsid w:val="14684D89"/>
    <w:rsid w:val="147D4C59"/>
    <w:rsid w:val="148D249E"/>
    <w:rsid w:val="14BC0A5A"/>
    <w:rsid w:val="14FE2A94"/>
    <w:rsid w:val="155D17B0"/>
    <w:rsid w:val="15746166"/>
    <w:rsid w:val="15E83493"/>
    <w:rsid w:val="15EA1D02"/>
    <w:rsid w:val="16263054"/>
    <w:rsid w:val="164F62BF"/>
    <w:rsid w:val="16A17EBA"/>
    <w:rsid w:val="16A442C9"/>
    <w:rsid w:val="170C6F16"/>
    <w:rsid w:val="173978F6"/>
    <w:rsid w:val="173D4F14"/>
    <w:rsid w:val="17AB00A7"/>
    <w:rsid w:val="17D973A4"/>
    <w:rsid w:val="17F63897"/>
    <w:rsid w:val="17FE19F3"/>
    <w:rsid w:val="18695DB2"/>
    <w:rsid w:val="186D4E30"/>
    <w:rsid w:val="186F6506"/>
    <w:rsid w:val="187079E4"/>
    <w:rsid w:val="187A2B2F"/>
    <w:rsid w:val="18A54882"/>
    <w:rsid w:val="18FC3C82"/>
    <w:rsid w:val="19310CCC"/>
    <w:rsid w:val="19506041"/>
    <w:rsid w:val="196B097B"/>
    <w:rsid w:val="19A45427"/>
    <w:rsid w:val="1A5C5310"/>
    <w:rsid w:val="1A890FDD"/>
    <w:rsid w:val="1AD17F21"/>
    <w:rsid w:val="1AE10118"/>
    <w:rsid w:val="1AE91E90"/>
    <w:rsid w:val="1B001C0B"/>
    <w:rsid w:val="1B2D7679"/>
    <w:rsid w:val="1B4864B0"/>
    <w:rsid w:val="1B615FC3"/>
    <w:rsid w:val="1BD67C84"/>
    <w:rsid w:val="1BE3258C"/>
    <w:rsid w:val="1BF715EC"/>
    <w:rsid w:val="1BFE47E4"/>
    <w:rsid w:val="1C330A55"/>
    <w:rsid w:val="1C7E014C"/>
    <w:rsid w:val="1CEF0C58"/>
    <w:rsid w:val="1D217407"/>
    <w:rsid w:val="1D553A63"/>
    <w:rsid w:val="1D8F656D"/>
    <w:rsid w:val="1DB00585"/>
    <w:rsid w:val="1E116DC7"/>
    <w:rsid w:val="1E14785D"/>
    <w:rsid w:val="1E526BD4"/>
    <w:rsid w:val="1E592D48"/>
    <w:rsid w:val="1ED12CDB"/>
    <w:rsid w:val="1F4B147B"/>
    <w:rsid w:val="1F5812C2"/>
    <w:rsid w:val="1FA53A94"/>
    <w:rsid w:val="1FBE6EB9"/>
    <w:rsid w:val="2024771A"/>
    <w:rsid w:val="204D6C7D"/>
    <w:rsid w:val="20712F4B"/>
    <w:rsid w:val="20756BA0"/>
    <w:rsid w:val="20C020F3"/>
    <w:rsid w:val="20FC1C67"/>
    <w:rsid w:val="210B7E5C"/>
    <w:rsid w:val="21331BE2"/>
    <w:rsid w:val="215974C0"/>
    <w:rsid w:val="21821128"/>
    <w:rsid w:val="218B3294"/>
    <w:rsid w:val="21A74D30"/>
    <w:rsid w:val="21E07A52"/>
    <w:rsid w:val="226A4C75"/>
    <w:rsid w:val="23391FAC"/>
    <w:rsid w:val="234315C9"/>
    <w:rsid w:val="2395611A"/>
    <w:rsid w:val="23A85091"/>
    <w:rsid w:val="23B75B33"/>
    <w:rsid w:val="23F55CE4"/>
    <w:rsid w:val="23FD3A4E"/>
    <w:rsid w:val="242E1AB1"/>
    <w:rsid w:val="24667B9F"/>
    <w:rsid w:val="247A4179"/>
    <w:rsid w:val="24946293"/>
    <w:rsid w:val="24AD01DC"/>
    <w:rsid w:val="24B84EA6"/>
    <w:rsid w:val="24C517BB"/>
    <w:rsid w:val="24D4537F"/>
    <w:rsid w:val="24DA6F4B"/>
    <w:rsid w:val="25093663"/>
    <w:rsid w:val="2509657B"/>
    <w:rsid w:val="252A0F03"/>
    <w:rsid w:val="25606BCE"/>
    <w:rsid w:val="25606C39"/>
    <w:rsid w:val="25661057"/>
    <w:rsid w:val="258175AA"/>
    <w:rsid w:val="258A5700"/>
    <w:rsid w:val="25A72815"/>
    <w:rsid w:val="25FF2160"/>
    <w:rsid w:val="2604543E"/>
    <w:rsid w:val="26462CBB"/>
    <w:rsid w:val="264E6E0B"/>
    <w:rsid w:val="2656636D"/>
    <w:rsid w:val="266A1AF9"/>
    <w:rsid w:val="26890B25"/>
    <w:rsid w:val="2696389A"/>
    <w:rsid w:val="26C64FAF"/>
    <w:rsid w:val="26D956C9"/>
    <w:rsid w:val="26E77B4C"/>
    <w:rsid w:val="270957A1"/>
    <w:rsid w:val="270E2D0D"/>
    <w:rsid w:val="270F76EF"/>
    <w:rsid w:val="27173AA6"/>
    <w:rsid w:val="271D3059"/>
    <w:rsid w:val="277B6C77"/>
    <w:rsid w:val="27892AE1"/>
    <w:rsid w:val="27B34370"/>
    <w:rsid w:val="27DE789D"/>
    <w:rsid w:val="27EF5134"/>
    <w:rsid w:val="27FD4AA5"/>
    <w:rsid w:val="28354310"/>
    <w:rsid w:val="28585615"/>
    <w:rsid w:val="28762081"/>
    <w:rsid w:val="288F3350"/>
    <w:rsid w:val="28E451B9"/>
    <w:rsid w:val="28EA4BC0"/>
    <w:rsid w:val="29292877"/>
    <w:rsid w:val="29481EEE"/>
    <w:rsid w:val="295A7C4D"/>
    <w:rsid w:val="29BA55DC"/>
    <w:rsid w:val="29C66F62"/>
    <w:rsid w:val="2A213DB7"/>
    <w:rsid w:val="2A273C15"/>
    <w:rsid w:val="2A735EC8"/>
    <w:rsid w:val="2A7A66C0"/>
    <w:rsid w:val="2A8045F1"/>
    <w:rsid w:val="2A805CF1"/>
    <w:rsid w:val="2A884DEE"/>
    <w:rsid w:val="2A9D7333"/>
    <w:rsid w:val="2AA26B42"/>
    <w:rsid w:val="2ACD4276"/>
    <w:rsid w:val="2B1C500C"/>
    <w:rsid w:val="2B6131CB"/>
    <w:rsid w:val="2B7A7FAC"/>
    <w:rsid w:val="2B7C0B2B"/>
    <w:rsid w:val="2BE96D78"/>
    <w:rsid w:val="2C164AE3"/>
    <w:rsid w:val="2C1A2A62"/>
    <w:rsid w:val="2C5F18E3"/>
    <w:rsid w:val="2C654F93"/>
    <w:rsid w:val="2C8379D2"/>
    <w:rsid w:val="2CF046FE"/>
    <w:rsid w:val="2D1B2C7D"/>
    <w:rsid w:val="2D22229A"/>
    <w:rsid w:val="2D3B3133"/>
    <w:rsid w:val="2D3F5731"/>
    <w:rsid w:val="2D4767EC"/>
    <w:rsid w:val="2DE14981"/>
    <w:rsid w:val="2E09293C"/>
    <w:rsid w:val="2E1B6B2F"/>
    <w:rsid w:val="2E265AE9"/>
    <w:rsid w:val="2E2F79B8"/>
    <w:rsid w:val="2E405C85"/>
    <w:rsid w:val="2E626386"/>
    <w:rsid w:val="2E7173EA"/>
    <w:rsid w:val="2E81672B"/>
    <w:rsid w:val="2E9B48CB"/>
    <w:rsid w:val="2EAC617B"/>
    <w:rsid w:val="2EFB4690"/>
    <w:rsid w:val="2F1275CB"/>
    <w:rsid w:val="2F3152FD"/>
    <w:rsid w:val="2F625919"/>
    <w:rsid w:val="2F711557"/>
    <w:rsid w:val="2FE60E92"/>
    <w:rsid w:val="302B3BDB"/>
    <w:rsid w:val="30C14A5F"/>
    <w:rsid w:val="30D50F86"/>
    <w:rsid w:val="30F6355B"/>
    <w:rsid w:val="31434764"/>
    <w:rsid w:val="3147496F"/>
    <w:rsid w:val="3189537A"/>
    <w:rsid w:val="31AE21E1"/>
    <w:rsid w:val="31CC5BA4"/>
    <w:rsid w:val="328C06BB"/>
    <w:rsid w:val="329770C4"/>
    <w:rsid w:val="32BB0B5B"/>
    <w:rsid w:val="32C222DC"/>
    <w:rsid w:val="32CE5D67"/>
    <w:rsid w:val="32D13B19"/>
    <w:rsid w:val="32ED3716"/>
    <w:rsid w:val="33081292"/>
    <w:rsid w:val="33EF30F4"/>
    <w:rsid w:val="33F142CE"/>
    <w:rsid w:val="33F2483E"/>
    <w:rsid w:val="33FA0D4F"/>
    <w:rsid w:val="34041D6F"/>
    <w:rsid w:val="34112F32"/>
    <w:rsid w:val="3413673F"/>
    <w:rsid w:val="342D377D"/>
    <w:rsid w:val="34AD4FFF"/>
    <w:rsid w:val="34B01858"/>
    <w:rsid w:val="355E2A1E"/>
    <w:rsid w:val="359F7667"/>
    <w:rsid w:val="35DA1910"/>
    <w:rsid w:val="35DB3CBF"/>
    <w:rsid w:val="35E61E10"/>
    <w:rsid w:val="35E9698D"/>
    <w:rsid w:val="35E976F2"/>
    <w:rsid w:val="35EE018C"/>
    <w:rsid w:val="35EE2BFB"/>
    <w:rsid w:val="360834F5"/>
    <w:rsid w:val="36252184"/>
    <w:rsid w:val="368B1A6E"/>
    <w:rsid w:val="369615CF"/>
    <w:rsid w:val="36B74AE2"/>
    <w:rsid w:val="36C16D1E"/>
    <w:rsid w:val="37AB5FA2"/>
    <w:rsid w:val="37CB116A"/>
    <w:rsid w:val="37E02544"/>
    <w:rsid w:val="37E34A1A"/>
    <w:rsid w:val="37FF14E1"/>
    <w:rsid w:val="38703170"/>
    <w:rsid w:val="387D5850"/>
    <w:rsid w:val="38B94C59"/>
    <w:rsid w:val="38C3575B"/>
    <w:rsid w:val="392A598B"/>
    <w:rsid w:val="392E0319"/>
    <w:rsid w:val="39516FE1"/>
    <w:rsid w:val="396C31D7"/>
    <w:rsid w:val="396C610F"/>
    <w:rsid w:val="39B12A4F"/>
    <w:rsid w:val="39EB2479"/>
    <w:rsid w:val="3A1675FF"/>
    <w:rsid w:val="3A497674"/>
    <w:rsid w:val="3B047D96"/>
    <w:rsid w:val="3B11396F"/>
    <w:rsid w:val="3B1F46AB"/>
    <w:rsid w:val="3B2F3B6B"/>
    <w:rsid w:val="3B316BB5"/>
    <w:rsid w:val="3B6B3427"/>
    <w:rsid w:val="3BF02802"/>
    <w:rsid w:val="3C03206E"/>
    <w:rsid w:val="3C110F63"/>
    <w:rsid w:val="3C4654F8"/>
    <w:rsid w:val="3C5B103F"/>
    <w:rsid w:val="3C780239"/>
    <w:rsid w:val="3C814BA0"/>
    <w:rsid w:val="3C89072D"/>
    <w:rsid w:val="3C9B601D"/>
    <w:rsid w:val="3CBD65B9"/>
    <w:rsid w:val="3CD062B4"/>
    <w:rsid w:val="3D4D151A"/>
    <w:rsid w:val="3D797599"/>
    <w:rsid w:val="3D9B310C"/>
    <w:rsid w:val="3D9F37A6"/>
    <w:rsid w:val="3DD442C9"/>
    <w:rsid w:val="3E080279"/>
    <w:rsid w:val="3E2B61DC"/>
    <w:rsid w:val="3E30782C"/>
    <w:rsid w:val="3E8209B8"/>
    <w:rsid w:val="3E916861"/>
    <w:rsid w:val="3ED90839"/>
    <w:rsid w:val="3EF54E19"/>
    <w:rsid w:val="3F00447C"/>
    <w:rsid w:val="3F025ABD"/>
    <w:rsid w:val="3F476AFA"/>
    <w:rsid w:val="3F646D09"/>
    <w:rsid w:val="3F6926AE"/>
    <w:rsid w:val="3F725D14"/>
    <w:rsid w:val="3F896BFD"/>
    <w:rsid w:val="3F8F333E"/>
    <w:rsid w:val="3F9B47FA"/>
    <w:rsid w:val="3FF745E5"/>
    <w:rsid w:val="40180BBB"/>
    <w:rsid w:val="408C1279"/>
    <w:rsid w:val="40A25D74"/>
    <w:rsid w:val="4146717E"/>
    <w:rsid w:val="41693722"/>
    <w:rsid w:val="418608FA"/>
    <w:rsid w:val="41862023"/>
    <w:rsid w:val="41AD3DCF"/>
    <w:rsid w:val="41BB05ED"/>
    <w:rsid w:val="41C23813"/>
    <w:rsid w:val="41CD1324"/>
    <w:rsid w:val="41E27229"/>
    <w:rsid w:val="41FD2ED3"/>
    <w:rsid w:val="42012DB9"/>
    <w:rsid w:val="424B2EC2"/>
    <w:rsid w:val="425C4E4D"/>
    <w:rsid w:val="42837B58"/>
    <w:rsid w:val="42964EA5"/>
    <w:rsid w:val="434822F0"/>
    <w:rsid w:val="43874F0C"/>
    <w:rsid w:val="43CC7C4E"/>
    <w:rsid w:val="43E83878"/>
    <w:rsid w:val="444B79A4"/>
    <w:rsid w:val="444D1931"/>
    <w:rsid w:val="44580C43"/>
    <w:rsid w:val="445B7539"/>
    <w:rsid w:val="446446E8"/>
    <w:rsid w:val="448058DC"/>
    <w:rsid w:val="451E37F2"/>
    <w:rsid w:val="45996C60"/>
    <w:rsid w:val="461C5BA2"/>
    <w:rsid w:val="462306A9"/>
    <w:rsid w:val="46385AFD"/>
    <w:rsid w:val="463C07D9"/>
    <w:rsid w:val="46526343"/>
    <w:rsid w:val="46F222DC"/>
    <w:rsid w:val="472C6442"/>
    <w:rsid w:val="472D0EA7"/>
    <w:rsid w:val="47484AD8"/>
    <w:rsid w:val="474E20FE"/>
    <w:rsid w:val="474F0FA7"/>
    <w:rsid w:val="476A2D19"/>
    <w:rsid w:val="47D21253"/>
    <w:rsid w:val="47D308C9"/>
    <w:rsid w:val="47EE64DD"/>
    <w:rsid w:val="47F102A6"/>
    <w:rsid w:val="48212973"/>
    <w:rsid w:val="48282942"/>
    <w:rsid w:val="482B46A7"/>
    <w:rsid w:val="482C540C"/>
    <w:rsid w:val="48602125"/>
    <w:rsid w:val="48D20B24"/>
    <w:rsid w:val="48DC39EF"/>
    <w:rsid w:val="49235D94"/>
    <w:rsid w:val="4954351A"/>
    <w:rsid w:val="499A6675"/>
    <w:rsid w:val="49CF4D6B"/>
    <w:rsid w:val="4A244FC2"/>
    <w:rsid w:val="4A4C549B"/>
    <w:rsid w:val="4A98354D"/>
    <w:rsid w:val="4AA02D41"/>
    <w:rsid w:val="4B080D70"/>
    <w:rsid w:val="4B1406FD"/>
    <w:rsid w:val="4B2543B0"/>
    <w:rsid w:val="4B444E4A"/>
    <w:rsid w:val="4B532CB9"/>
    <w:rsid w:val="4B6D0403"/>
    <w:rsid w:val="4B72174A"/>
    <w:rsid w:val="4B7A6292"/>
    <w:rsid w:val="4BCD3BD6"/>
    <w:rsid w:val="4C2B1492"/>
    <w:rsid w:val="4C353A74"/>
    <w:rsid w:val="4C590E89"/>
    <w:rsid w:val="4CCA7294"/>
    <w:rsid w:val="4CD71374"/>
    <w:rsid w:val="4D3D6913"/>
    <w:rsid w:val="4D772620"/>
    <w:rsid w:val="4D966EE2"/>
    <w:rsid w:val="4DA14E67"/>
    <w:rsid w:val="4DAA71EA"/>
    <w:rsid w:val="4DE51A58"/>
    <w:rsid w:val="4DE95766"/>
    <w:rsid w:val="4E195F61"/>
    <w:rsid w:val="4E1A44C4"/>
    <w:rsid w:val="4E4B026A"/>
    <w:rsid w:val="4E525194"/>
    <w:rsid w:val="4E606CA0"/>
    <w:rsid w:val="4EA05DDC"/>
    <w:rsid w:val="4ED43FDE"/>
    <w:rsid w:val="4EEA2F3F"/>
    <w:rsid w:val="4F0675DF"/>
    <w:rsid w:val="4F1936F4"/>
    <w:rsid w:val="4F1E5EA0"/>
    <w:rsid w:val="4F7B7544"/>
    <w:rsid w:val="4FC97AEA"/>
    <w:rsid w:val="50154EBE"/>
    <w:rsid w:val="502A564E"/>
    <w:rsid w:val="504444A4"/>
    <w:rsid w:val="50C3535E"/>
    <w:rsid w:val="51155F9B"/>
    <w:rsid w:val="5119141B"/>
    <w:rsid w:val="5153553E"/>
    <w:rsid w:val="5156395C"/>
    <w:rsid w:val="516F1A42"/>
    <w:rsid w:val="52154DB4"/>
    <w:rsid w:val="521726BE"/>
    <w:rsid w:val="522B751C"/>
    <w:rsid w:val="523B4393"/>
    <w:rsid w:val="52463005"/>
    <w:rsid w:val="529D68BD"/>
    <w:rsid w:val="52BE2957"/>
    <w:rsid w:val="52DA42C6"/>
    <w:rsid w:val="53301BF5"/>
    <w:rsid w:val="538725B4"/>
    <w:rsid w:val="539325DA"/>
    <w:rsid w:val="53A529DF"/>
    <w:rsid w:val="54236C6E"/>
    <w:rsid w:val="54A7059B"/>
    <w:rsid w:val="54B84D3F"/>
    <w:rsid w:val="55025ACA"/>
    <w:rsid w:val="5558126A"/>
    <w:rsid w:val="55802FAF"/>
    <w:rsid w:val="5586325E"/>
    <w:rsid w:val="55F95EE4"/>
    <w:rsid w:val="560A0C3A"/>
    <w:rsid w:val="56145BE6"/>
    <w:rsid w:val="568640A7"/>
    <w:rsid w:val="56892DCA"/>
    <w:rsid w:val="56E8166E"/>
    <w:rsid w:val="56F465A4"/>
    <w:rsid w:val="56FD3DE4"/>
    <w:rsid w:val="5708010D"/>
    <w:rsid w:val="570808F4"/>
    <w:rsid w:val="57086DCD"/>
    <w:rsid w:val="572F0F80"/>
    <w:rsid w:val="576933C2"/>
    <w:rsid w:val="577E7BDF"/>
    <w:rsid w:val="57C93774"/>
    <w:rsid w:val="57CD51FE"/>
    <w:rsid w:val="57F8344B"/>
    <w:rsid w:val="580669AB"/>
    <w:rsid w:val="583C0FE3"/>
    <w:rsid w:val="58541AD0"/>
    <w:rsid w:val="585D3329"/>
    <w:rsid w:val="58663847"/>
    <w:rsid w:val="58667229"/>
    <w:rsid w:val="58702495"/>
    <w:rsid w:val="58861C9B"/>
    <w:rsid w:val="59176E25"/>
    <w:rsid w:val="591D1D06"/>
    <w:rsid w:val="592B05D4"/>
    <w:rsid w:val="5962716A"/>
    <w:rsid w:val="598D1FAE"/>
    <w:rsid w:val="5A97116E"/>
    <w:rsid w:val="5AA540C1"/>
    <w:rsid w:val="5AEA445C"/>
    <w:rsid w:val="5B045FFF"/>
    <w:rsid w:val="5B064DE7"/>
    <w:rsid w:val="5B1B30F1"/>
    <w:rsid w:val="5B38673B"/>
    <w:rsid w:val="5B3A2699"/>
    <w:rsid w:val="5B4E189C"/>
    <w:rsid w:val="5B965F70"/>
    <w:rsid w:val="5C4C7184"/>
    <w:rsid w:val="5C58323C"/>
    <w:rsid w:val="5C973C33"/>
    <w:rsid w:val="5CC50AA1"/>
    <w:rsid w:val="5CE9015A"/>
    <w:rsid w:val="5CF136E6"/>
    <w:rsid w:val="5D4D05A5"/>
    <w:rsid w:val="5D7F349E"/>
    <w:rsid w:val="5D8325D7"/>
    <w:rsid w:val="5D9061E5"/>
    <w:rsid w:val="5D937B4B"/>
    <w:rsid w:val="5DA82EDD"/>
    <w:rsid w:val="5DF911A2"/>
    <w:rsid w:val="5E0E158A"/>
    <w:rsid w:val="5E3314B1"/>
    <w:rsid w:val="5E504795"/>
    <w:rsid w:val="5E631725"/>
    <w:rsid w:val="5EC360B2"/>
    <w:rsid w:val="5F0A6BB1"/>
    <w:rsid w:val="5F5432F8"/>
    <w:rsid w:val="5F5C3AD3"/>
    <w:rsid w:val="5F9E5BBB"/>
    <w:rsid w:val="5FA93EBF"/>
    <w:rsid w:val="602073BB"/>
    <w:rsid w:val="60356DFC"/>
    <w:rsid w:val="60484B54"/>
    <w:rsid w:val="60C406B0"/>
    <w:rsid w:val="60D85920"/>
    <w:rsid w:val="60D872EA"/>
    <w:rsid w:val="614D3CC6"/>
    <w:rsid w:val="61675AC7"/>
    <w:rsid w:val="619962EF"/>
    <w:rsid w:val="61AA0B89"/>
    <w:rsid w:val="61D15140"/>
    <w:rsid w:val="61F5348A"/>
    <w:rsid w:val="6207652F"/>
    <w:rsid w:val="622D4721"/>
    <w:rsid w:val="62524CF5"/>
    <w:rsid w:val="625D2ECA"/>
    <w:rsid w:val="6293546D"/>
    <w:rsid w:val="62AE3109"/>
    <w:rsid w:val="62BE1C47"/>
    <w:rsid w:val="62D75C39"/>
    <w:rsid w:val="631C1C46"/>
    <w:rsid w:val="634F0C67"/>
    <w:rsid w:val="635C3706"/>
    <w:rsid w:val="63C70C2A"/>
    <w:rsid w:val="63CA6ADD"/>
    <w:rsid w:val="63CD7D27"/>
    <w:rsid w:val="63E1476D"/>
    <w:rsid w:val="63ED1227"/>
    <w:rsid w:val="64373EC9"/>
    <w:rsid w:val="646C2161"/>
    <w:rsid w:val="64770678"/>
    <w:rsid w:val="64915287"/>
    <w:rsid w:val="64A64755"/>
    <w:rsid w:val="64E042B1"/>
    <w:rsid w:val="651944A0"/>
    <w:rsid w:val="653374D9"/>
    <w:rsid w:val="655B55E5"/>
    <w:rsid w:val="656E2E0C"/>
    <w:rsid w:val="657D3DA3"/>
    <w:rsid w:val="65A62EFE"/>
    <w:rsid w:val="65A947F7"/>
    <w:rsid w:val="65F5741A"/>
    <w:rsid w:val="662E07B4"/>
    <w:rsid w:val="66356237"/>
    <w:rsid w:val="665C05AF"/>
    <w:rsid w:val="665C1E0B"/>
    <w:rsid w:val="666738C0"/>
    <w:rsid w:val="666E618C"/>
    <w:rsid w:val="66922D95"/>
    <w:rsid w:val="6739190E"/>
    <w:rsid w:val="676F72FB"/>
    <w:rsid w:val="6795479E"/>
    <w:rsid w:val="67D67A6C"/>
    <w:rsid w:val="68177743"/>
    <w:rsid w:val="68331A2A"/>
    <w:rsid w:val="6855419F"/>
    <w:rsid w:val="68886F58"/>
    <w:rsid w:val="689116AE"/>
    <w:rsid w:val="68962341"/>
    <w:rsid w:val="68AE3275"/>
    <w:rsid w:val="68AF33B1"/>
    <w:rsid w:val="68C244F4"/>
    <w:rsid w:val="68CD5207"/>
    <w:rsid w:val="68DC3BF5"/>
    <w:rsid w:val="68E004AC"/>
    <w:rsid w:val="69CF37C3"/>
    <w:rsid w:val="69E20D20"/>
    <w:rsid w:val="69EE41E3"/>
    <w:rsid w:val="69F102C9"/>
    <w:rsid w:val="69F71BC7"/>
    <w:rsid w:val="6A084DA6"/>
    <w:rsid w:val="6A317F83"/>
    <w:rsid w:val="6A4252B6"/>
    <w:rsid w:val="6A51348C"/>
    <w:rsid w:val="6A643B0A"/>
    <w:rsid w:val="6A776F8C"/>
    <w:rsid w:val="6AA50CF9"/>
    <w:rsid w:val="6AB70FB7"/>
    <w:rsid w:val="6AC937FA"/>
    <w:rsid w:val="6AD241A1"/>
    <w:rsid w:val="6B180D4A"/>
    <w:rsid w:val="6B5D2BF4"/>
    <w:rsid w:val="6B77337D"/>
    <w:rsid w:val="6B8C561E"/>
    <w:rsid w:val="6B90664A"/>
    <w:rsid w:val="6C0366E5"/>
    <w:rsid w:val="6C5C035D"/>
    <w:rsid w:val="6C6341BD"/>
    <w:rsid w:val="6C653450"/>
    <w:rsid w:val="6C7A5EAF"/>
    <w:rsid w:val="6CB47CCA"/>
    <w:rsid w:val="6CB612ED"/>
    <w:rsid w:val="6CD11451"/>
    <w:rsid w:val="6CE9708B"/>
    <w:rsid w:val="6CEA79C1"/>
    <w:rsid w:val="6D885156"/>
    <w:rsid w:val="6DE614DE"/>
    <w:rsid w:val="6E5B3391"/>
    <w:rsid w:val="6E7829E7"/>
    <w:rsid w:val="6E7B2C74"/>
    <w:rsid w:val="6E7C0ABF"/>
    <w:rsid w:val="6E8D2B09"/>
    <w:rsid w:val="6ECD585E"/>
    <w:rsid w:val="6ECD7C0E"/>
    <w:rsid w:val="6ECF12B1"/>
    <w:rsid w:val="6F3474E3"/>
    <w:rsid w:val="6F562F23"/>
    <w:rsid w:val="6F5A7B91"/>
    <w:rsid w:val="6F7C2562"/>
    <w:rsid w:val="6F7F6EFB"/>
    <w:rsid w:val="6F806B86"/>
    <w:rsid w:val="6FC06486"/>
    <w:rsid w:val="6FC806E5"/>
    <w:rsid w:val="6FCD2E8D"/>
    <w:rsid w:val="6FD43C8E"/>
    <w:rsid w:val="6FEE3A74"/>
    <w:rsid w:val="70143BA5"/>
    <w:rsid w:val="70186DBA"/>
    <w:rsid w:val="709E3B7C"/>
    <w:rsid w:val="70B22332"/>
    <w:rsid w:val="70DB5DE2"/>
    <w:rsid w:val="711B5F5D"/>
    <w:rsid w:val="711B6EFE"/>
    <w:rsid w:val="711C0A93"/>
    <w:rsid w:val="712F2D69"/>
    <w:rsid w:val="71760E46"/>
    <w:rsid w:val="717C69DF"/>
    <w:rsid w:val="71AD51DF"/>
    <w:rsid w:val="71BD35F1"/>
    <w:rsid w:val="71EB0165"/>
    <w:rsid w:val="72220801"/>
    <w:rsid w:val="72344A44"/>
    <w:rsid w:val="72633EC8"/>
    <w:rsid w:val="727650C9"/>
    <w:rsid w:val="72946D92"/>
    <w:rsid w:val="72B96E93"/>
    <w:rsid w:val="72EC5B15"/>
    <w:rsid w:val="73307138"/>
    <w:rsid w:val="733B4C79"/>
    <w:rsid w:val="735D37D1"/>
    <w:rsid w:val="73A45C80"/>
    <w:rsid w:val="73CD0896"/>
    <w:rsid w:val="73F1590C"/>
    <w:rsid w:val="73FB0A1C"/>
    <w:rsid w:val="741064BF"/>
    <w:rsid w:val="74391B4F"/>
    <w:rsid w:val="746C7D45"/>
    <w:rsid w:val="747906AC"/>
    <w:rsid w:val="74A54837"/>
    <w:rsid w:val="74B00D66"/>
    <w:rsid w:val="74B90425"/>
    <w:rsid w:val="74D63057"/>
    <w:rsid w:val="74F16CCD"/>
    <w:rsid w:val="751567FF"/>
    <w:rsid w:val="752D7009"/>
    <w:rsid w:val="75590C8F"/>
    <w:rsid w:val="75975CF1"/>
    <w:rsid w:val="75D758DA"/>
    <w:rsid w:val="761C73F2"/>
    <w:rsid w:val="7683607C"/>
    <w:rsid w:val="769B5DD2"/>
    <w:rsid w:val="76A47687"/>
    <w:rsid w:val="76AC46A4"/>
    <w:rsid w:val="77092830"/>
    <w:rsid w:val="77587EB3"/>
    <w:rsid w:val="77EF3C42"/>
    <w:rsid w:val="77F61139"/>
    <w:rsid w:val="77FE52FB"/>
    <w:rsid w:val="78071DB0"/>
    <w:rsid w:val="781225CF"/>
    <w:rsid w:val="7859264B"/>
    <w:rsid w:val="785C061F"/>
    <w:rsid w:val="786448B7"/>
    <w:rsid w:val="788D000C"/>
    <w:rsid w:val="789C6519"/>
    <w:rsid w:val="78B21D89"/>
    <w:rsid w:val="78E311EE"/>
    <w:rsid w:val="79680FB3"/>
    <w:rsid w:val="79B21C32"/>
    <w:rsid w:val="79E42D7A"/>
    <w:rsid w:val="7A0562A6"/>
    <w:rsid w:val="7A245312"/>
    <w:rsid w:val="7A47284F"/>
    <w:rsid w:val="7A697932"/>
    <w:rsid w:val="7A994ECC"/>
    <w:rsid w:val="7AAD2B62"/>
    <w:rsid w:val="7AF11F17"/>
    <w:rsid w:val="7B5E52F4"/>
    <w:rsid w:val="7B7123D2"/>
    <w:rsid w:val="7B740600"/>
    <w:rsid w:val="7B762E82"/>
    <w:rsid w:val="7B85751B"/>
    <w:rsid w:val="7B935F82"/>
    <w:rsid w:val="7BD4449D"/>
    <w:rsid w:val="7BE16434"/>
    <w:rsid w:val="7BE21463"/>
    <w:rsid w:val="7BE55C59"/>
    <w:rsid w:val="7BE61714"/>
    <w:rsid w:val="7BFC6C10"/>
    <w:rsid w:val="7C3931AD"/>
    <w:rsid w:val="7C3D5627"/>
    <w:rsid w:val="7CB11C15"/>
    <w:rsid w:val="7CFA3F41"/>
    <w:rsid w:val="7D1E1225"/>
    <w:rsid w:val="7DF42D62"/>
    <w:rsid w:val="7E04636A"/>
    <w:rsid w:val="7E1A1881"/>
    <w:rsid w:val="7E2B7592"/>
    <w:rsid w:val="7E5F3842"/>
    <w:rsid w:val="7E6658C3"/>
    <w:rsid w:val="7E7240EF"/>
    <w:rsid w:val="7E812C0F"/>
    <w:rsid w:val="7E932ECE"/>
    <w:rsid w:val="7EBC25CE"/>
    <w:rsid w:val="7F166C8F"/>
    <w:rsid w:val="7F334FDA"/>
    <w:rsid w:val="7F383688"/>
    <w:rsid w:val="7F3F4476"/>
    <w:rsid w:val="7FCE54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color w:val="333333"/>
      <w:kern w:val="44"/>
      <w:sz w:val="42"/>
      <w:szCs w:val="42"/>
    </w:rPr>
  </w:style>
  <w:style w:type="character" w:default="1" w:styleId="8">
    <w:name w:val="Default Paragraph Font"/>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2"/>
    <w:qFormat/>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jc w:val="left"/>
    </w:pPr>
    <w:rPr>
      <w:kern w:val="0"/>
      <w:sz w:val="24"/>
    </w:rPr>
  </w:style>
  <w:style w:type="character" w:customStyle="1" w:styleId="9">
    <w:name w:val="lemmawgt-lemmatitle-title1"/>
    <w:basedOn w:val="8"/>
    <w:qFormat/>
    <w:uiPriority w:val="0"/>
  </w:style>
  <w:style w:type="character" w:customStyle="1" w:styleId="10">
    <w:name w:val="页眉 Char"/>
    <w:basedOn w:val="8"/>
    <w:link w:val="5"/>
    <w:qFormat/>
    <w:uiPriority w:val="0"/>
    <w:rPr>
      <w:rFonts w:eastAsia="宋体"/>
      <w:kern w:val="2"/>
      <w:sz w:val="18"/>
      <w:szCs w:val="18"/>
    </w:rPr>
  </w:style>
  <w:style w:type="character" w:customStyle="1" w:styleId="11">
    <w:name w:val="页脚 Char"/>
    <w:basedOn w:val="8"/>
    <w:link w:val="4"/>
    <w:qFormat/>
    <w:uiPriority w:val="0"/>
    <w:rPr>
      <w:rFonts w:eastAsia="宋体"/>
      <w:kern w:val="2"/>
      <w:sz w:val="18"/>
      <w:szCs w:val="18"/>
    </w:rPr>
  </w:style>
  <w:style w:type="character" w:customStyle="1" w:styleId="12">
    <w:name w:val="批注框文本 Char"/>
    <w:basedOn w:val="8"/>
    <w:link w:val="3"/>
    <w:qFormat/>
    <w:uiPriority w:val="0"/>
    <w:rPr>
      <w:rFonts w:eastAsia="宋体"/>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26700;&#38754;\&#25919;&#21327;\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1172</Words>
  <Characters>6681</Characters>
  <Lines>55</Lines>
  <Paragraphs>15</Paragraphs>
  <TotalTime>115</TotalTime>
  <ScaleCrop>false</ScaleCrop>
  <LinksUpToDate>false</LinksUpToDate>
  <CharactersWithSpaces>7838</CharactersWithSpaces>
  <Application>WPS Office_11.1.0.8515_F1E327BC-269C-435d-A152-05C5408002CA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2019-02-18T10:55:00Z</dcterms:created>
  <dc:creator>sisi614@126.com</dc:creator>
  <cp:lastModifiedBy>Administrator</cp:lastModifiedBy>
  <cp:lastPrinted>2019-03-14T07:51:08Z</cp:lastPrinted>
  <dcterms:modified xsi:type="dcterms:W3CDTF">2019-03-14T09:38:17Z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