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</w:p>
    <w:p>
      <w:pPr>
        <w:pStyle w:val="6"/>
        <w:spacing w:line="36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九峰村现状控规明细表</w:t>
      </w:r>
      <w:bookmarkStart w:id="0" w:name="_GoBack"/>
      <w:bookmarkEnd w:id="0"/>
    </w:p>
    <w:tbl>
      <w:tblPr>
        <w:tblStyle w:val="4"/>
        <w:tblW w:w="9204" w:type="dxa"/>
        <w:tblInd w:w="-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541"/>
        <w:gridCol w:w="940"/>
        <w:gridCol w:w="777"/>
        <w:gridCol w:w="1050"/>
        <w:gridCol w:w="1270"/>
        <w:gridCol w:w="831"/>
        <w:gridCol w:w="678"/>
        <w:gridCol w:w="836"/>
        <w:gridCol w:w="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地块编号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总面积（亩）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净用地面积（亩）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用地性质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现状容积率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限高  （米）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建筑密度（%）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绿地率     （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九峰一号地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S09-C10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153.2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122.9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A51医疗用地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R21住宅用地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1.2-1.4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S09-C11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九峰二号地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S09-C13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169.4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126.7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R21住宅用地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1.4-1.6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S09-C15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九峰三号地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S09-C17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21.3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R21B1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商住用地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小  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343.9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270.9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天悦社保六号地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B11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零售商业用地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天悦待统征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S09-C10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15.12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A51医疗用地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天悦拟调控规用地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14.772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防护绿地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小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77.36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72.002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合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421.26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342.902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环城绿带两厢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G1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枫山路九峰路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九峰公园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G1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学校配套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小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614.23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1035.49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342.902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2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备注：上述宗地开发控规指标原则上结合项目规划定位，按国家和市规技术规定实施调整完善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，以市资规部门批准为准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</w:tbl>
    <w:p>
      <w:pPr>
        <w:pStyle w:val="6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6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pacing w:line="360" w:lineRule="auto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E6879"/>
    <w:rsid w:val="49216A22"/>
    <w:rsid w:val="59C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1"/>
    <w:pPr>
      <w:widowControl/>
      <w:snapToGrid w:val="0"/>
      <w:spacing w:line="520" w:lineRule="exact"/>
      <w:ind w:firstLine="200" w:firstLineChars="200"/>
      <w:jc w:val="left"/>
      <w:outlineLvl w:val="3"/>
    </w:pPr>
    <w:rPr>
      <w:rFonts w:ascii="宋体" w:hAnsi="宋体"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7">
    <w:name w:val="font21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2020-12-29T01:32:00Z</dcterms:created>
  <dc:creator>Administrator</dc:creator>
  <cp:lastModifiedBy>小起子1414548614</cp:lastModifiedBy>
  <cp:lastPrinted>2020-12-29T01:39:00Z</cp:lastPrinted>
  <dcterms:modified xsi:type="dcterms:W3CDTF">2020-12-30T06:57:54Z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