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长沙市天心区2021年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国民经济和社会发展统计公报</w:t>
      </w:r>
    </w:p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长沙市天心区统计局</w:t>
      </w:r>
    </w:p>
    <w:p>
      <w:pPr>
        <w:pStyle w:val="6"/>
        <w:spacing w:before="30" w:beforeAutospacing="0" w:after="30" w:afterAutospacing="0" w:line="420" w:lineRule="atLeast"/>
        <w:textAlignment w:val="center"/>
        <w:rPr>
          <w:rFonts w:ascii="Times New Roman" w:hAnsi="Times New Roman" w:eastAsia="仿宋_GB2312"/>
          <w:kern w:val="2"/>
          <w:sz w:val="32"/>
          <w:szCs w:val="32"/>
        </w:rPr>
      </w:pPr>
    </w:p>
    <w:p>
      <w:pPr>
        <w:pStyle w:val="6"/>
        <w:widowControl w:val="0"/>
        <w:overflowPunct w:val="0"/>
        <w:spacing w:before="30" w:beforeAutospacing="0" w:after="30" w:afterAutospacing="0" w:line="420" w:lineRule="atLeast"/>
        <w:ind w:firstLine="640" w:firstLineChars="200"/>
        <w:jc w:val="both"/>
        <w:textAlignment w:val="center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ascii="Times New Roman" w:hAnsi="Times New Roman" w:eastAsia="仿宋_GB2312"/>
          <w:kern w:val="2"/>
          <w:sz w:val="32"/>
          <w:szCs w:val="32"/>
        </w:rPr>
        <w:t>2021年，全区上下坚持以习近平新时代中国特色社会主义思想为指导，在中央、省、市和区委的坚强领导下，攻坚克难，开拓创新，担当作为，实现了“十三五”圆满收官、“十四五”良好开局。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一、综合</w:t>
      </w:r>
    </w:p>
    <w:p>
      <w:pPr>
        <w:spacing w:line="560" w:lineRule="exact"/>
        <w:ind w:firstLine="63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473075</wp:posOffset>
            </wp:positionH>
            <wp:positionV relativeFrom="page">
              <wp:posOffset>7374255</wp:posOffset>
            </wp:positionV>
            <wp:extent cx="4687570" cy="2322830"/>
            <wp:effectExtent l="0" t="0" r="0" b="0"/>
            <wp:wrapTopAndBottom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初步核算，全年实现地区生产总值（GDP）1215.37亿元，比上年增长7.8%。分产业看，第一产业实现增加值1.40亿元，下降5.4%；第二产业实现增加值374.24亿元，增长4.2%；第三产业实现增加值839.72亿元，增长9.5%。第一、二、三产业分别拉动GDP增长0、1.3和6.5个百分点，三次产业对GDP增长贡献率分别为-0.1%、16.5%和83.6%。第一、二、三产业增加值占地区生产总值的比重分别为0.1%、30.8%和69.1%。</w:t>
      </w:r>
    </w:p>
    <w:p>
      <w:pPr>
        <w:spacing w:line="560" w:lineRule="exact"/>
        <w:ind w:firstLine="63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411480</wp:posOffset>
            </wp:positionH>
            <wp:positionV relativeFrom="page">
              <wp:posOffset>1454785</wp:posOffset>
            </wp:positionV>
            <wp:extent cx="4697730" cy="2480310"/>
            <wp:effectExtent l="0" t="0" r="0" b="0"/>
            <wp:wrapTopAndBottom/>
            <wp:docPr id="1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全年完成一般公共预算收入154.26</w:t>
      </w:r>
      <w:r>
        <w:rPr>
          <w:rFonts w:ascii="Times New Roman" w:hAnsi="Times New Roman" w:eastAsia="仿宋_GB2312"/>
          <w:sz w:val="32"/>
          <w:szCs w:val="32"/>
          <w:lang w:val="zh-CN"/>
        </w:rPr>
        <w:t>亿元，比上年增长</w:t>
      </w:r>
      <w:r>
        <w:rPr>
          <w:rFonts w:ascii="Times New Roman" w:hAnsi="Times New Roman" w:eastAsia="仿宋_GB2312"/>
          <w:sz w:val="32"/>
          <w:szCs w:val="32"/>
        </w:rPr>
        <w:t>9.0</w:t>
      </w:r>
      <w:r>
        <w:rPr>
          <w:rFonts w:ascii="Times New Roman" w:hAnsi="Times New Roman" w:eastAsia="仿宋_GB2312"/>
          <w:sz w:val="32"/>
          <w:szCs w:val="32"/>
          <w:lang w:val="zh-CN"/>
        </w:rPr>
        <w:t>%</w:t>
      </w:r>
      <w:r>
        <w:rPr>
          <w:rFonts w:ascii="Times New Roman" w:hAnsi="Times New Roman" w:eastAsia="仿宋_GB2312"/>
          <w:sz w:val="32"/>
          <w:szCs w:val="32"/>
        </w:rPr>
        <w:t>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地方一般公共预算收入67.19亿元，</w:t>
      </w:r>
      <w:r>
        <w:rPr>
          <w:rFonts w:ascii="Times New Roman" w:hAnsi="Times New Roman" w:eastAsia="仿宋_GB2312"/>
          <w:sz w:val="32"/>
          <w:szCs w:val="32"/>
          <w:lang w:val="zh-CN"/>
        </w:rPr>
        <w:t>增长</w:t>
      </w:r>
      <w:r>
        <w:rPr>
          <w:rFonts w:ascii="Times New Roman" w:hAnsi="Times New Roman" w:eastAsia="仿宋_GB2312"/>
          <w:sz w:val="32"/>
          <w:szCs w:val="32"/>
        </w:rPr>
        <w:t>9.8</w:t>
      </w:r>
      <w:r>
        <w:rPr>
          <w:rFonts w:ascii="Times New Roman" w:hAnsi="Times New Roman" w:eastAsia="仿宋_GB2312"/>
          <w:sz w:val="32"/>
          <w:szCs w:val="32"/>
          <w:lang w:val="zh-CN"/>
        </w:rPr>
        <w:t>%。</w:t>
      </w:r>
      <w:r>
        <w:rPr>
          <w:rFonts w:ascii="Times New Roman" w:hAnsi="Times New Roman" w:eastAsia="仿宋_GB2312"/>
          <w:sz w:val="32"/>
          <w:szCs w:val="32"/>
        </w:rPr>
        <w:t>一般公共预算支出76.98亿元，增长13.1%。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全区城镇新增就业12360人，失业人员再就业12342人，就业困难对象再就业3455人；年末城镇登记失业率1.42%，零就业家庭100%动态清零；新增农村劳动力转移就业350人。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455930</wp:posOffset>
            </wp:positionH>
            <wp:positionV relativeFrom="page">
              <wp:posOffset>6106160</wp:posOffset>
            </wp:positionV>
            <wp:extent cx="4572000" cy="2647950"/>
            <wp:effectExtent l="0" t="0" r="0" b="0"/>
            <wp:wrapTopAndBottom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二、农业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全年实现农林牧渔业增加值1.47亿元，比上年下降5.4%，其中，农林牧渔服务业增加值0.06亿元，下降4.6%。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全年粮食种植面积0.26千公顷，总产量2324吨，其中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稻谷种植面积0.25千公顷，产量2038吨；蔬菜种植面积1.04千公顷，产量27495吨；生猪出栏0.52万头；家禽出笼5.51万羽。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三、工业和建筑业</w:t>
      </w:r>
    </w:p>
    <w:p>
      <w:pPr>
        <w:spacing w:line="560" w:lineRule="exact"/>
        <w:ind w:firstLine="63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621030</wp:posOffset>
            </wp:positionH>
            <wp:positionV relativeFrom="page">
              <wp:posOffset>4622165</wp:posOffset>
            </wp:positionV>
            <wp:extent cx="4564380" cy="2362200"/>
            <wp:effectExtent l="19050" t="0" r="0" b="0"/>
            <wp:wrapTopAndBottom/>
            <wp:docPr id="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631825</wp:posOffset>
            </wp:positionH>
            <wp:positionV relativeFrom="page">
              <wp:posOffset>7099300</wp:posOffset>
            </wp:positionV>
            <wp:extent cx="4552950" cy="2535555"/>
            <wp:effectExtent l="19050" t="0" r="0" b="0"/>
            <wp:wrapTopAndBottom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全年全部工业增加值比上年增长5.5%,其中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规模以上工业增加值增长5.3%。</w:t>
      </w:r>
      <w:bookmarkStart w:id="0" w:name="_GoBack"/>
      <w:bookmarkEnd w:id="0"/>
    </w:p>
    <w:p>
      <w:pPr>
        <w:spacing w:line="560" w:lineRule="exact"/>
        <w:ind w:firstLine="63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423545</wp:posOffset>
            </wp:positionH>
            <wp:positionV relativeFrom="page">
              <wp:posOffset>2484120</wp:posOffset>
            </wp:positionV>
            <wp:extent cx="4694555" cy="2653665"/>
            <wp:effectExtent l="19050" t="0" r="0" b="0"/>
            <wp:wrapTopAndBottom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全区具有建筑业资质等级的独立核算企业63家,其中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特级5家、一级37家。全年完成建筑业总产值1442.95亿元，比上年增长14.5%；实现建筑业增加值249.35亿元,增长3.6%。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四、固定资产投资</w:t>
      </w:r>
    </w:p>
    <w:p>
      <w:pPr>
        <w:spacing w:line="560" w:lineRule="exact"/>
        <w:ind w:firstLine="63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533400</wp:posOffset>
            </wp:positionH>
            <wp:positionV relativeFrom="page">
              <wp:posOffset>7310755</wp:posOffset>
            </wp:positionV>
            <wp:extent cx="4524375" cy="2458720"/>
            <wp:effectExtent l="0" t="0" r="0" b="0"/>
            <wp:wrapTopAndBottom/>
            <wp:docPr id="8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全年完成全社会固定资产投资比上年增长9.3%。全区计划总投资超过5000万元的在库项目（不含房地产开发）81个，完成投资占固定投资总额的57.8%。分产业看，第二产业完成投资下降8.1%，其中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工业投资下降8.2%；第三产业完成投资增长18.4%。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全年房地产开发投资比上年增长26.1%；商品房销售面积132.91万平方米，增长10.2%，其中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住宅销售面积114.96万平方米，增长20.0%；商品房销售额153.60亿元，增长20.5%，其中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住宅销售额133.39亿元，增长39.6%。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五、国内贸易、商务和招商引资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社会消费品零售总额463.03亿元，比上年增长13.6%，占全市社会消费品零售总额比重为9.1%。按行业分，批发业实现零售总额43.76亿元，增长4.1%；零售业实现零售总额349.85亿元，增长14.4%；住宿业实现零售总额4.44亿元，增长15.7%；餐饮业实现零售总额64.98亿元，增长16.4%。</w:t>
      </w:r>
    </w:p>
    <w:p>
      <w:pPr>
        <w:spacing w:line="500" w:lineRule="exact"/>
        <w:ind w:firstLine="63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243840</wp:posOffset>
            </wp:positionH>
            <wp:positionV relativeFrom="page">
              <wp:posOffset>4959985</wp:posOffset>
            </wp:positionV>
            <wp:extent cx="5133975" cy="2847340"/>
            <wp:effectExtent l="0" t="0" r="0" b="0"/>
            <wp:wrapTopAndBottom/>
            <wp:docPr id="1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限额以上批发和零售业单位商品零售额比上年增长8.1%。分类别看，粮食、食品类零售额增长2.2%；服装、鞋帽、针纺织品类下降1.8%；化妆品类增长6.9%；家用电器和音像器材类增长18.2%；石油及制品类增长14.7%；汽车类增长17.3%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</w:t>
      </w:r>
      <w:r>
        <w:rPr>
          <w:rFonts w:ascii="Times New Roman" w:hAnsi="Times New Roman" w:eastAsia="仿宋_GB2312"/>
          <w:sz w:val="32"/>
          <w:szCs w:val="32"/>
          <w:lang w:val="zh-CN"/>
        </w:rPr>
        <w:t>内外资招商项目（企业）</w:t>
      </w:r>
      <w:r>
        <w:rPr>
          <w:rFonts w:ascii="Times New Roman" w:hAnsi="Times New Roman" w:eastAsia="仿宋_GB2312"/>
          <w:sz w:val="32"/>
          <w:szCs w:val="32"/>
        </w:rPr>
        <w:t>209</w:t>
      </w:r>
      <w:r>
        <w:rPr>
          <w:rFonts w:ascii="Times New Roman" w:hAnsi="Times New Roman" w:eastAsia="仿宋_GB2312"/>
          <w:sz w:val="32"/>
          <w:szCs w:val="32"/>
          <w:lang w:val="zh-CN"/>
        </w:rPr>
        <w:t>个，</w:t>
      </w:r>
      <w:r>
        <w:rPr>
          <w:rFonts w:ascii="Times New Roman" w:hAnsi="Times New Roman" w:eastAsia="仿宋_GB2312"/>
          <w:sz w:val="32"/>
          <w:szCs w:val="32"/>
        </w:rPr>
        <w:t>实际利用外资0.60亿美元，比上年增长56.0%；实际到位省外境内资金247.45亿元，增长23.6%。</w:t>
      </w:r>
    </w:p>
    <w:p>
      <w:pPr>
        <w:spacing w:line="5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六、教育和科学技术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区拥有普通中学18所（含九年一贯制学校4所）、中等职业教育学校5所、普通小学53所（含教学点1个）、幼儿园160所。普通中学在校学生34748人，教职工3165人；中等职业教育学校在校学生5487人，教职工589人；普通小学在校学生57660人，教职工2942人；幼儿园入托儿童32374人，幼师5082人。全区小学生毕业合格率达100%，高考录取率达87.9%。生均公用经费小学800元/生·年，初中1000元/生·年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全年实现高新技术产业增加值比上年增长19.4%。专利授权3329件，增长39.9%，其中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发明专利授权933件，增长70.0%。</w:t>
      </w:r>
    </w:p>
    <w:p>
      <w:pPr>
        <w:spacing w:line="5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七、文化、体育和卫生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全区共有非物质文化遗产项目资源31个，非遗展示中心1个，文化馆1个，公共图书馆12个（其中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24小时自助图书馆3个），街道文化站14个，示范性街道综合文化站14个，示范性社区（村）综合文化服务中心96个。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开展全民健身项目795项次，全区全民健身运动参加人数达62万人次。全年发展社会体育指导员354人，年末拥有各级社会体育指导员3675人，健身辅导站14个，公共体育场地1155个。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全区拥有医疗卫生机构507个，其中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疾控中心1个、妇幼保健所1个、社区卫生服务中心14个、社区卫生服务站62个、驻区企事业单位医疗机构34个。全年建立电子健康档案647018份，建档率达到97.2%。管理65岁以上常住居民5006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人，高血压、糖尿病规范管理人数分别为19279和11298人，慢性病规范化管理率均达75.0%以上。区级注册卫生技术人员8401人，比上年增加459人，其中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医生3517人,比上年增加275人;护师护士4884人，比上年增加184人。</w:t>
      </w:r>
    </w:p>
    <w:p>
      <w:pPr>
        <w:spacing w:line="5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八、环境保护和安全生产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</w:t>
      </w:r>
      <w:r>
        <w:rPr>
          <w:rFonts w:ascii="Times New Roman" w:hAnsi="Times New Roman" w:eastAsia="仿宋_GB2312"/>
          <w:kern w:val="0"/>
          <w:sz w:val="32"/>
          <w:szCs w:val="32"/>
        </w:rPr>
        <w:t>环保共审批建设项目26件</w:t>
      </w:r>
      <w:r>
        <w:rPr>
          <w:rFonts w:ascii="Times New Roman" w:hAnsi="Times New Roman" w:eastAsia="仿宋_GB2312"/>
          <w:sz w:val="32"/>
          <w:szCs w:val="32"/>
        </w:rPr>
        <w:t>。全年空气质量优良率达到85.5%，优良天数为312天。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全年各类生产安全事故死亡11人，其中，生产经营性道路交通事故死亡9人；铁路运输事故死亡1人；工矿商贸企业从业人员死亡0人；建筑施工行业死亡1人。亿元GDP各类安全事故死亡人数0.009人。</w:t>
      </w:r>
    </w:p>
    <w:p>
      <w:pPr>
        <w:numPr>
          <w:ilvl w:val="0"/>
          <w:numId w:val="1"/>
        </w:numPr>
        <w:spacing w:line="5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人民生活和社会保障</w:t>
      </w:r>
    </w:p>
    <w:p>
      <w:pPr>
        <w:spacing w:line="500" w:lineRule="exact"/>
        <w:ind w:firstLine="63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458470</wp:posOffset>
            </wp:positionH>
            <wp:positionV relativeFrom="page">
              <wp:posOffset>6896100</wp:posOffset>
            </wp:positionV>
            <wp:extent cx="4572000" cy="2609850"/>
            <wp:effectExtent l="0" t="0" r="0" b="0"/>
            <wp:wrapTopAndBottom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全区年末人口总户数为20.44万户，户政人口数为53.22万人，常住人口数为85.74万，出生率为6.87‰，死亡率为3.80‰，人口自然增长率为3.07‰，常住人口城镇化率为99.1%。城镇居民人均可支配收入66716元，比上年增长7.1%，高于全市平均水平4571元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区城市低保对象24559户次、34858人次，累计发放低保金、物价补贴、过节费等2107万元；农村低保对象4325户次、7841人次，累计发放低保金、物价补贴、过节费等434.48万元；申请廉租房及廉租房补贴140户。全年共发放城乡困难居民医疗救助金629.35万元，1893人次；特困供养3124户次、3189人次，供养资金318.27万元;发放优抚金3979.18万元，接待各类退役军人来信来访2400余人次；新建9个居家养老服务中心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注：1、本公报部分数据为初步统计数，部分数据因四舍五入的原因，存在与分项合计不等的情况。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地区生产总值（GDP）、各产业增加值绝对数按现价计算，增长速度按可比价计算。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根据第四次全国经济普查结果，对地区生产总值、三次产业及相关行业增加值、社会消费品零售总额等相关指标的历史数据进行了修订。</w:t>
      </w:r>
    </w:p>
    <w:sectPr>
      <w:headerReference r:id="rId3" w:type="default"/>
      <w:footerReference r:id="rId4" w:type="default"/>
      <w:pgSz w:w="11906" w:h="16838"/>
      <w:pgMar w:top="2155" w:right="1474" w:bottom="1701" w:left="1588" w:header="851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4"/>
      <w:jc w:val="both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E9A28"/>
    <w:multiLevelType w:val="singleLevel"/>
    <w:tmpl w:val="EC8E9A28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82AF5C"/>
    <w:multiLevelType w:val="singleLevel"/>
    <w:tmpl w:val="F282AF5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D67698"/>
    <w:rsid w:val="000C6556"/>
    <w:rsid w:val="000E7DB6"/>
    <w:rsid w:val="001E0196"/>
    <w:rsid w:val="00215433"/>
    <w:rsid w:val="00263952"/>
    <w:rsid w:val="003A4258"/>
    <w:rsid w:val="0067359D"/>
    <w:rsid w:val="007300F9"/>
    <w:rsid w:val="00850BF0"/>
    <w:rsid w:val="00945855"/>
    <w:rsid w:val="00A5679E"/>
    <w:rsid w:val="00A761CE"/>
    <w:rsid w:val="00B773C2"/>
    <w:rsid w:val="00B91524"/>
    <w:rsid w:val="00C90F82"/>
    <w:rsid w:val="00CB5616"/>
    <w:rsid w:val="00D56EB0"/>
    <w:rsid w:val="00DF43B3"/>
    <w:rsid w:val="00FB1B62"/>
    <w:rsid w:val="010F1222"/>
    <w:rsid w:val="01575B09"/>
    <w:rsid w:val="0163376E"/>
    <w:rsid w:val="01F112EC"/>
    <w:rsid w:val="02005D26"/>
    <w:rsid w:val="02517A88"/>
    <w:rsid w:val="02BE1823"/>
    <w:rsid w:val="02F6401B"/>
    <w:rsid w:val="039B748A"/>
    <w:rsid w:val="03DE70F0"/>
    <w:rsid w:val="04884E65"/>
    <w:rsid w:val="05757BFA"/>
    <w:rsid w:val="05932753"/>
    <w:rsid w:val="061877B0"/>
    <w:rsid w:val="065213F9"/>
    <w:rsid w:val="065507DE"/>
    <w:rsid w:val="06F76D19"/>
    <w:rsid w:val="073D2943"/>
    <w:rsid w:val="07A66F04"/>
    <w:rsid w:val="080B06F5"/>
    <w:rsid w:val="0866616D"/>
    <w:rsid w:val="089D151D"/>
    <w:rsid w:val="09B65BDA"/>
    <w:rsid w:val="0A6E6997"/>
    <w:rsid w:val="0A9E71C5"/>
    <w:rsid w:val="0AC91B63"/>
    <w:rsid w:val="0AD12D30"/>
    <w:rsid w:val="0B5F3925"/>
    <w:rsid w:val="0BAC22C1"/>
    <w:rsid w:val="0C1F3EBA"/>
    <w:rsid w:val="0D084F70"/>
    <w:rsid w:val="0D171F56"/>
    <w:rsid w:val="0DE761DE"/>
    <w:rsid w:val="0E9A7833"/>
    <w:rsid w:val="0F381A87"/>
    <w:rsid w:val="10D04F8B"/>
    <w:rsid w:val="10D56A1E"/>
    <w:rsid w:val="11E9129A"/>
    <w:rsid w:val="11EC269A"/>
    <w:rsid w:val="11F00E84"/>
    <w:rsid w:val="1261066D"/>
    <w:rsid w:val="133D261E"/>
    <w:rsid w:val="135D7C40"/>
    <w:rsid w:val="144B0883"/>
    <w:rsid w:val="1619109F"/>
    <w:rsid w:val="169C177F"/>
    <w:rsid w:val="174317EC"/>
    <w:rsid w:val="174E561C"/>
    <w:rsid w:val="176253DF"/>
    <w:rsid w:val="18C22B85"/>
    <w:rsid w:val="1964766A"/>
    <w:rsid w:val="19746FDB"/>
    <w:rsid w:val="19FB75D2"/>
    <w:rsid w:val="1A1B2D69"/>
    <w:rsid w:val="1A25665E"/>
    <w:rsid w:val="1A892D58"/>
    <w:rsid w:val="1AB35071"/>
    <w:rsid w:val="1AF9752E"/>
    <w:rsid w:val="1B04220A"/>
    <w:rsid w:val="1B054869"/>
    <w:rsid w:val="1C7421A6"/>
    <w:rsid w:val="1D2C2D8B"/>
    <w:rsid w:val="1DF823EC"/>
    <w:rsid w:val="1E695134"/>
    <w:rsid w:val="20591AF8"/>
    <w:rsid w:val="214954DC"/>
    <w:rsid w:val="216328FB"/>
    <w:rsid w:val="21810D03"/>
    <w:rsid w:val="21AE6620"/>
    <w:rsid w:val="21B41AEB"/>
    <w:rsid w:val="21BC6A35"/>
    <w:rsid w:val="21CE5F63"/>
    <w:rsid w:val="21E1277B"/>
    <w:rsid w:val="22DC7CF8"/>
    <w:rsid w:val="24505A76"/>
    <w:rsid w:val="24BD0B6E"/>
    <w:rsid w:val="25B44016"/>
    <w:rsid w:val="26D54D5F"/>
    <w:rsid w:val="275059D1"/>
    <w:rsid w:val="2780301D"/>
    <w:rsid w:val="28CD5A9B"/>
    <w:rsid w:val="291312D9"/>
    <w:rsid w:val="2935710B"/>
    <w:rsid w:val="29E52691"/>
    <w:rsid w:val="2A205099"/>
    <w:rsid w:val="2A3636FF"/>
    <w:rsid w:val="2AF32933"/>
    <w:rsid w:val="2B03015B"/>
    <w:rsid w:val="2C445EE7"/>
    <w:rsid w:val="2CD07EF0"/>
    <w:rsid w:val="2D214354"/>
    <w:rsid w:val="2D224545"/>
    <w:rsid w:val="2D7A1DA7"/>
    <w:rsid w:val="2DC2447B"/>
    <w:rsid w:val="2DCE2E91"/>
    <w:rsid w:val="2DEB2867"/>
    <w:rsid w:val="2DED1985"/>
    <w:rsid w:val="2FA14E8E"/>
    <w:rsid w:val="2FC5791D"/>
    <w:rsid w:val="303A568F"/>
    <w:rsid w:val="30BB0F5A"/>
    <w:rsid w:val="30FA1726"/>
    <w:rsid w:val="31B02CBE"/>
    <w:rsid w:val="32010670"/>
    <w:rsid w:val="32125C6A"/>
    <w:rsid w:val="322A5212"/>
    <w:rsid w:val="329F6057"/>
    <w:rsid w:val="341C2838"/>
    <w:rsid w:val="346F6770"/>
    <w:rsid w:val="358020FD"/>
    <w:rsid w:val="35CB6D60"/>
    <w:rsid w:val="361231BE"/>
    <w:rsid w:val="36C638F0"/>
    <w:rsid w:val="36DC7FDC"/>
    <w:rsid w:val="374F1604"/>
    <w:rsid w:val="37A26510"/>
    <w:rsid w:val="382C2DA0"/>
    <w:rsid w:val="38915E68"/>
    <w:rsid w:val="3A4979CD"/>
    <w:rsid w:val="3A6C0A30"/>
    <w:rsid w:val="3B6B584A"/>
    <w:rsid w:val="3B993E3B"/>
    <w:rsid w:val="3C4C459E"/>
    <w:rsid w:val="3C5B6360"/>
    <w:rsid w:val="3C9560EB"/>
    <w:rsid w:val="3CBF746B"/>
    <w:rsid w:val="3CCF74B7"/>
    <w:rsid w:val="3D31224B"/>
    <w:rsid w:val="3D74772E"/>
    <w:rsid w:val="3E06000C"/>
    <w:rsid w:val="3E0B533B"/>
    <w:rsid w:val="3EB852FF"/>
    <w:rsid w:val="3F575112"/>
    <w:rsid w:val="3FAB70E9"/>
    <w:rsid w:val="40080F29"/>
    <w:rsid w:val="417017C2"/>
    <w:rsid w:val="420278CC"/>
    <w:rsid w:val="42994713"/>
    <w:rsid w:val="42F35148"/>
    <w:rsid w:val="4358513D"/>
    <w:rsid w:val="436D76A3"/>
    <w:rsid w:val="438355EC"/>
    <w:rsid w:val="438F1E7C"/>
    <w:rsid w:val="43BD159A"/>
    <w:rsid w:val="441E3876"/>
    <w:rsid w:val="44BB4591"/>
    <w:rsid w:val="44E401E1"/>
    <w:rsid w:val="45F57997"/>
    <w:rsid w:val="465F281A"/>
    <w:rsid w:val="47105672"/>
    <w:rsid w:val="472E5789"/>
    <w:rsid w:val="48675192"/>
    <w:rsid w:val="490F7A4B"/>
    <w:rsid w:val="4999596D"/>
    <w:rsid w:val="49A050D0"/>
    <w:rsid w:val="49D7442A"/>
    <w:rsid w:val="4AE323C9"/>
    <w:rsid w:val="4B5F3891"/>
    <w:rsid w:val="4B8F660E"/>
    <w:rsid w:val="4D607872"/>
    <w:rsid w:val="4E461FE4"/>
    <w:rsid w:val="4F5048EB"/>
    <w:rsid w:val="4FA82667"/>
    <w:rsid w:val="4FFF7EC3"/>
    <w:rsid w:val="501F083A"/>
    <w:rsid w:val="505C5865"/>
    <w:rsid w:val="50A918B6"/>
    <w:rsid w:val="51DB2B0C"/>
    <w:rsid w:val="51F1213E"/>
    <w:rsid w:val="52CC40E9"/>
    <w:rsid w:val="52E32048"/>
    <w:rsid w:val="5300755A"/>
    <w:rsid w:val="53A74DCF"/>
    <w:rsid w:val="55474A46"/>
    <w:rsid w:val="55C00534"/>
    <w:rsid w:val="55E27C3A"/>
    <w:rsid w:val="55F914E0"/>
    <w:rsid w:val="5606155B"/>
    <w:rsid w:val="56CC39CB"/>
    <w:rsid w:val="56D77668"/>
    <w:rsid w:val="572B1106"/>
    <w:rsid w:val="57495262"/>
    <w:rsid w:val="57560A85"/>
    <w:rsid w:val="57BC1E92"/>
    <w:rsid w:val="57ED208B"/>
    <w:rsid w:val="57F9123B"/>
    <w:rsid w:val="5893300E"/>
    <w:rsid w:val="58F90C2A"/>
    <w:rsid w:val="59E51FD5"/>
    <w:rsid w:val="5A0257A4"/>
    <w:rsid w:val="5A1605FE"/>
    <w:rsid w:val="5AF03EDE"/>
    <w:rsid w:val="5AFF5353"/>
    <w:rsid w:val="5B5B63D4"/>
    <w:rsid w:val="5B9866EE"/>
    <w:rsid w:val="5C315A83"/>
    <w:rsid w:val="5D8504CC"/>
    <w:rsid w:val="5D916A0F"/>
    <w:rsid w:val="5E1745A6"/>
    <w:rsid w:val="5E2450C9"/>
    <w:rsid w:val="5F394BBA"/>
    <w:rsid w:val="5FAD5E4B"/>
    <w:rsid w:val="600F5EAD"/>
    <w:rsid w:val="60473D86"/>
    <w:rsid w:val="606B5AFC"/>
    <w:rsid w:val="6077540C"/>
    <w:rsid w:val="60A10EC9"/>
    <w:rsid w:val="60E76325"/>
    <w:rsid w:val="60EB73A8"/>
    <w:rsid w:val="611279BD"/>
    <w:rsid w:val="61464510"/>
    <w:rsid w:val="61A36BE9"/>
    <w:rsid w:val="61EC23A5"/>
    <w:rsid w:val="634C2E4B"/>
    <w:rsid w:val="63EF2D23"/>
    <w:rsid w:val="64070098"/>
    <w:rsid w:val="646F4B99"/>
    <w:rsid w:val="64F40F47"/>
    <w:rsid w:val="654D44EF"/>
    <w:rsid w:val="65AD4CE1"/>
    <w:rsid w:val="668A5F10"/>
    <w:rsid w:val="66B41EA6"/>
    <w:rsid w:val="66DD6D2B"/>
    <w:rsid w:val="670E1EBE"/>
    <w:rsid w:val="67100B37"/>
    <w:rsid w:val="6756609D"/>
    <w:rsid w:val="69A741E2"/>
    <w:rsid w:val="69D9113A"/>
    <w:rsid w:val="6A90067D"/>
    <w:rsid w:val="6A945BDC"/>
    <w:rsid w:val="6AD46227"/>
    <w:rsid w:val="6B3A495E"/>
    <w:rsid w:val="6B9B54E2"/>
    <w:rsid w:val="6BA56202"/>
    <w:rsid w:val="6BEB058F"/>
    <w:rsid w:val="6C741E22"/>
    <w:rsid w:val="6D2773EB"/>
    <w:rsid w:val="6DE66A63"/>
    <w:rsid w:val="6E003683"/>
    <w:rsid w:val="6E91666F"/>
    <w:rsid w:val="6ED4198D"/>
    <w:rsid w:val="6F8B57C7"/>
    <w:rsid w:val="6FA05BB0"/>
    <w:rsid w:val="6FE309B9"/>
    <w:rsid w:val="6FF73091"/>
    <w:rsid w:val="70596CEC"/>
    <w:rsid w:val="70682A86"/>
    <w:rsid w:val="71555BA1"/>
    <w:rsid w:val="71D67698"/>
    <w:rsid w:val="72F825DD"/>
    <w:rsid w:val="74261711"/>
    <w:rsid w:val="74877910"/>
    <w:rsid w:val="750F0679"/>
    <w:rsid w:val="750F651D"/>
    <w:rsid w:val="75812C33"/>
    <w:rsid w:val="76985D7D"/>
    <w:rsid w:val="76A4390D"/>
    <w:rsid w:val="770025E3"/>
    <w:rsid w:val="771574F3"/>
    <w:rsid w:val="7773512C"/>
    <w:rsid w:val="77BD5438"/>
    <w:rsid w:val="77CC5050"/>
    <w:rsid w:val="77FC3435"/>
    <w:rsid w:val="78F804F1"/>
    <w:rsid w:val="791E258B"/>
    <w:rsid w:val="791E2B36"/>
    <w:rsid w:val="793C523B"/>
    <w:rsid w:val="794F1B77"/>
    <w:rsid w:val="7A53739D"/>
    <w:rsid w:val="7A726AE2"/>
    <w:rsid w:val="7A7E54B0"/>
    <w:rsid w:val="7BAD1991"/>
    <w:rsid w:val="7BC92BAD"/>
    <w:rsid w:val="7BCE1478"/>
    <w:rsid w:val="7C761895"/>
    <w:rsid w:val="7C8A1F80"/>
    <w:rsid w:val="7C8D4325"/>
    <w:rsid w:val="7D376980"/>
    <w:rsid w:val="7D6F3265"/>
    <w:rsid w:val="7DB31B9D"/>
    <w:rsid w:val="7E2A12A1"/>
    <w:rsid w:val="7E9E63D2"/>
    <w:rsid w:val="7FA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b/>
      <w:bCs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ca-6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chart" Target="charts/chart9.xml"/><Relationship Id="rId13" Type="http://schemas.openxmlformats.org/officeDocument/2006/relationships/chart" Target="charts/chart8.xml"/><Relationship Id="rId12" Type="http://schemas.openxmlformats.org/officeDocument/2006/relationships/chart" Target="charts/chart7.xml"/><Relationship Id="rId11" Type="http://schemas.openxmlformats.org/officeDocument/2006/relationships/chart" Target="charts/chart6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F:\&#24037;&#20316;&#36164;&#26009;\2021&#24180;&#32479;&#35745;&#20135;&#21697;\2021&#24180;&#32479;&#35745;&#20135;&#21697;&#30340;&#25968;&#25454;&#25910;&#38598;\2021&#24180;&#32479;&#35745;&#20844;&#25253;&#20316;&#22270;.xlsx" TargetMode="External"/></Relationships>
</file>

<file path=word/charts/_rels/chart2.xml.rels><?xml version="1.0" encoding="UTF-8" standalone="yes"?>
<Relationships xmlns="http://schemas.openxmlformats.org/package/2006/relationships"><Relationship Id="rId4" Type="http://schemas.microsoft.com/office/2011/relationships/chartColorStyle" Target="colors2.xml"/><Relationship Id="rId3" Type="http://schemas.microsoft.com/office/2011/relationships/chartStyle" Target="style2.xml"/><Relationship Id="rId2" Type="http://schemas.openxmlformats.org/officeDocument/2006/relationships/chartUserShapes" Target="../drawings/drawing2.xml"/><Relationship Id="rId1" Type="http://schemas.openxmlformats.org/officeDocument/2006/relationships/oleObject" Target="file:///F:\&#24037;&#20316;&#36164;&#26009;\2021&#24180;&#32479;&#35745;&#20135;&#21697;\2021&#24180;&#32479;&#35745;&#20135;&#21697;&#30340;&#25968;&#25454;&#25910;&#38598;\2021&#24180;&#32479;&#35745;&#20844;&#25253;&#20316;&#22270;.xlsx" TargetMode="External"/></Relationships>
</file>

<file path=word/charts/_rels/chart3.xml.rels><?xml version="1.0" encoding="UTF-8" standalone="yes"?>
<Relationships xmlns="http://schemas.openxmlformats.org/package/2006/relationships"><Relationship Id="rId4" Type="http://schemas.microsoft.com/office/2011/relationships/chartColorStyle" Target="colors3.xml"/><Relationship Id="rId3" Type="http://schemas.microsoft.com/office/2011/relationships/chartStyle" Target="style3.xml"/><Relationship Id="rId2" Type="http://schemas.openxmlformats.org/officeDocument/2006/relationships/chartUserShapes" Target="../drawings/drawing3.xml"/><Relationship Id="rId1" Type="http://schemas.openxmlformats.org/officeDocument/2006/relationships/oleObject" Target="file:///F:\&#24037;&#20316;&#36164;&#26009;\2021&#24180;&#32479;&#35745;&#20135;&#21697;\2021&#24180;&#32479;&#35745;&#20135;&#21697;&#30340;&#25968;&#25454;&#25910;&#38598;\2021&#24180;&#32479;&#35745;&#20844;&#25253;&#20316;&#2227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F:\&#24037;&#20316;&#36164;&#26009;\2021&#24180;&#32479;&#35745;&#20135;&#21697;\2021&#24180;&#32479;&#35745;&#20135;&#21697;&#30340;&#25968;&#25454;&#25910;&#38598;\2021&#24180;&#32479;&#35745;&#20844;&#25253;&#20316;&#22270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F:\&#24037;&#20316;&#36164;&#26009;\2021&#24180;&#32479;&#35745;&#20135;&#21697;\2021&#24180;&#32479;&#35745;&#20135;&#21697;&#30340;&#25968;&#25454;&#25910;&#38598;\2021&#24180;&#32479;&#35745;&#20844;&#25253;&#20316;&#22270;.xlsx" TargetMode="External"/></Relationships>
</file>

<file path=word/charts/_rels/chart6.xml.rels><?xml version="1.0" encoding="UTF-8" standalone="yes"?>
<Relationships xmlns="http://schemas.openxmlformats.org/package/2006/relationships"><Relationship Id="rId4" Type="http://schemas.microsoft.com/office/2011/relationships/chartColorStyle" Target="colors4.xml"/><Relationship Id="rId3" Type="http://schemas.microsoft.com/office/2011/relationships/chartStyle" Target="style4.xml"/><Relationship Id="rId2" Type="http://schemas.openxmlformats.org/officeDocument/2006/relationships/chartUserShapes" Target="../drawings/drawing6.xml"/><Relationship Id="rId1" Type="http://schemas.openxmlformats.org/officeDocument/2006/relationships/oleObject" Target="file:///F:\&#24037;&#20316;&#36164;&#26009;\2021&#24180;&#32479;&#35745;&#20135;&#21697;\2021&#24180;&#32479;&#35745;&#20135;&#21697;&#30340;&#25968;&#25454;&#25910;&#38598;\2021&#24180;&#32479;&#35745;&#20844;&#25253;&#20316;&#22270;.xlsx" TargetMode="External"/></Relationships>
</file>

<file path=word/charts/_rels/chart7.xml.rels><?xml version="1.0" encoding="UTF-8" standalone="yes"?>
<Relationships xmlns="http://schemas.openxmlformats.org/package/2006/relationships"><Relationship Id="rId4" Type="http://schemas.microsoft.com/office/2011/relationships/chartColorStyle" Target="colors5.xml"/><Relationship Id="rId3" Type="http://schemas.microsoft.com/office/2011/relationships/chartStyle" Target="style5.xml"/><Relationship Id="rId2" Type="http://schemas.openxmlformats.org/officeDocument/2006/relationships/chartUserShapes" Target="../drawings/drawing7.xml"/><Relationship Id="rId1" Type="http://schemas.openxmlformats.org/officeDocument/2006/relationships/oleObject" Target="file:///F:\&#24037;&#20316;&#36164;&#26009;\2021&#24180;&#32479;&#35745;&#20135;&#21697;\2021&#24180;&#32479;&#35745;&#20135;&#21697;&#30340;&#25968;&#25454;&#25910;&#38598;\2021&#24180;&#32479;&#35745;&#20844;&#25253;&#20316;&#22270;.xlsx" TargetMode="External"/></Relationships>
</file>

<file path=word/charts/_rels/chart8.xml.rels><?xml version="1.0" encoding="UTF-8" standalone="yes"?>
<Relationships xmlns="http://schemas.openxmlformats.org/package/2006/relationships"><Relationship Id="rId4" Type="http://schemas.microsoft.com/office/2011/relationships/chartColorStyle" Target="colors6.xml"/><Relationship Id="rId3" Type="http://schemas.microsoft.com/office/2011/relationships/chartStyle" Target="style6.xml"/><Relationship Id="rId2" Type="http://schemas.openxmlformats.org/officeDocument/2006/relationships/chartUserShapes" Target="../drawings/drawing8.xml"/><Relationship Id="rId1" Type="http://schemas.openxmlformats.org/officeDocument/2006/relationships/oleObject" Target="file:///F:\&#24037;&#20316;&#36164;&#26009;\2021&#24180;&#32479;&#35745;&#20135;&#21697;\2021&#24180;&#32479;&#35745;&#20135;&#21697;&#30340;&#25968;&#25454;&#25910;&#38598;\2021&#24180;&#32479;&#35745;&#20844;&#25253;&#20316;&#22270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F:\&#24037;&#20316;&#36164;&#26009;\2021&#24180;&#32479;&#35745;&#20135;&#21697;\2021&#24180;&#32479;&#35745;&#20135;&#21697;&#30340;&#25968;&#25454;&#25910;&#38598;\2021&#24180;&#32479;&#35745;&#20844;&#25253;&#20316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1  2017-2021</a:t>
            </a: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年地区生产总值及其增长速度</a:t>
            </a:r>
            <a:endParaRPr lang="zh-CN" altLang="en-US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28045479155387"/>
          <c:y val="0.008201202843083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71081081081081"/>
          <c:y val="0.168712340995314"/>
          <c:w val="0.854297297297297"/>
          <c:h val="0.7378710109350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[2021年统计公报作图.xlsx]GDP!$E$4</c:f>
              <c:strCache>
                <c:ptCount val="1"/>
                <c:pt idx="0">
                  <c:v>地区生产总值</c:v>
                </c:pt>
              </c:strCache>
            </c:strRef>
          </c:tx>
          <c:spPr>
            <a:solidFill>
              <a:srgbClr val="FF7D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[2021年统计公报作图.xlsx]GDP!$D$5:$D$9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[2021年统计公报作图.xlsx]GDP!$E$5:$E$9</c:f>
              <c:numCache>
                <c:formatCode>General</c:formatCode>
                <c:ptCount val="5"/>
                <c:pt idx="0">
                  <c:v>909.04</c:v>
                </c:pt>
                <c:pt idx="1">
                  <c:v>980.87</c:v>
                </c:pt>
                <c:pt idx="2">
                  <c:v>1080.64</c:v>
                </c:pt>
                <c:pt idx="3">
                  <c:v>1120.64</c:v>
                </c:pt>
                <c:pt idx="4">
                  <c:v>1215.37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860736"/>
        <c:axId val="69903488"/>
      </c:barChart>
      <c:lineChart>
        <c:grouping val="standard"/>
        <c:varyColors val="0"/>
        <c:ser>
          <c:idx val="1"/>
          <c:order val="1"/>
          <c:tx>
            <c:strRef>
              <c:f>[2021年统计公报作图.xlsx]GDP!$F$4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flat">
              <a:solidFill>
                <a:srgbClr val="92D050"/>
              </a:solidFill>
              <a:miter lim="800000"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0"/>
                  <c:y val="0.026086956521739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[2021年统计公报作图.xlsx]GDP!$D$5:$D$9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[2021年统计公报作图.xlsx]GDP!$F$5:$F$9</c:f>
              <c:numCache>
                <c:formatCode>General</c:formatCode>
                <c:ptCount val="5"/>
                <c:pt idx="0">
                  <c:v>9.4</c:v>
                </c:pt>
                <c:pt idx="1">
                  <c:v>9.6</c:v>
                </c:pt>
                <c:pt idx="2">
                  <c:v>8.5</c:v>
                </c:pt>
                <c:pt idx="3">
                  <c:v>3.6</c:v>
                </c:pt>
                <c:pt idx="4">
                  <c:v>7.8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9905024"/>
        <c:axId val="69910912"/>
      </c:lineChart>
      <c:catAx>
        <c:axId val="69860736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4351" cap="flat" cmpd="sng" algn="ctr">
            <a:solidFill>
              <a:schemeClr val="tx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9903488"/>
        <c:crosses val="autoZero"/>
        <c:auto val="1"/>
        <c:lblAlgn val="ctr"/>
        <c:lblOffset val="100"/>
        <c:noMultiLvlLbl val="0"/>
      </c:catAx>
      <c:valAx>
        <c:axId val="69903488"/>
        <c:scaling>
          <c:orientation val="minMax"/>
          <c:max val="160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13970"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9860736"/>
        <c:crosses val="autoZero"/>
        <c:crossBetween val="between"/>
      </c:valAx>
      <c:catAx>
        <c:axId val="69905024"/>
        <c:scaling>
          <c:orientation val="minMax"/>
        </c:scaling>
        <c:delete val="1"/>
        <c:axPos val="b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9910912"/>
        <c:crosses val="autoZero"/>
        <c:auto val="1"/>
        <c:lblAlgn val="ctr"/>
        <c:lblOffset val="100"/>
        <c:noMultiLvlLbl val="0"/>
      </c:catAx>
      <c:valAx>
        <c:axId val="69910912"/>
        <c:scaling>
          <c:orientation val="minMax"/>
          <c:max val="20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9905024"/>
        <c:crosses val="max"/>
        <c:crossBetween val="between"/>
        <c:majorUnit val="5"/>
      </c:valAx>
      <c:spPr>
        <a:solidFill>
          <a:srgbClr val="EEF6F8"/>
        </a:solidFill>
        <a:ln w="15875" cmpd="sng">
          <a:solidFill>
            <a:schemeClr val="tx1">
              <a:lumMod val="75000"/>
              <a:lumOff val="25000"/>
            </a:schemeClr>
          </a:solidFill>
          <a:prstDash val="solid"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11454082886303"/>
          <c:y val="0.18958512232484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 sz="140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 sz="140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2  2017-2021</a:t>
            </a:r>
            <a:r>
              <a:rPr lang="zh-CN" altLang="en-US" sz="140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年三次产业增加值占</a:t>
            </a:r>
            <a:r>
              <a:rPr lang="en-US" altLang="zh-CN" sz="1400">
                <a:ea typeface="黑体" panose="02010609060101010101" charset="-122"/>
                <a:sym typeface="Times New Roman" panose="02020603050405020304" charset="0"/>
              </a:rPr>
              <a:t>GDP</a:t>
            </a:r>
            <a:r>
              <a:rPr lang="zh-CN" altLang="en-US" sz="140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比重</a:t>
            </a:r>
            <a:endParaRPr lang="zh-CN" altLang="en-US" sz="1400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27433175099914"/>
          <c:y val="0.0076804915514592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7921028223135"/>
          <c:y val="0.190487185407527"/>
          <c:w val="0.89418311912018"/>
          <c:h val="0.6546755945509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'[2021年统计公报作图.xlsx]3次产业构成'!$D$5</c:f>
              <c:strCache>
                <c:ptCount val="1"/>
                <c:pt idx="0">
                  <c:v>一产业</c:v>
                </c:pt>
              </c:strCache>
            </c:strRef>
          </c:tx>
          <c:spPr>
            <a:solidFill>
              <a:srgbClr val="92D34C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0315173733198685"/>
                  <c:y val="-0.032089687483898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0227554368472723"/>
                  <c:y val="-0.029533331453222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16220600162206"/>
                  <c:y val="-0.02901749086331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175723168423898"/>
                  <c:y val="-0.02692592683821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5945027524239"/>
                  <c:y val="-0.026461134832638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'[2021年统计公报作图.xlsx]3次产业构成'!$C$6:$C$10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'[2021年统计公报作图.xlsx]3次产业构成'!$D$6:$D$10</c:f>
              <c:numCache>
                <c:formatCode>General</c:formatCode>
                <c:ptCount val="5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'[2021年统计公报作图.xlsx]3次产业构成'!$E$5</c:f>
              <c:strCache>
                <c:ptCount val="1"/>
                <c:pt idx="0">
                  <c:v>二产业</c:v>
                </c:pt>
              </c:strCache>
            </c:strRef>
          </c:tx>
          <c:spPr>
            <a:solidFill>
              <a:srgbClr val="99CD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'[2021年统计公报作图.xlsx]3次产业构成'!$C$6:$C$10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'[2021年统计公报作图.xlsx]3次产业构成'!$E$6:$E$10</c:f>
              <c:numCache>
                <c:formatCode>General</c:formatCode>
                <c:ptCount val="5"/>
                <c:pt idx="0">
                  <c:v>31.3</c:v>
                </c:pt>
                <c:pt idx="1">
                  <c:v>30.7</c:v>
                </c:pt>
                <c:pt idx="2">
                  <c:v>30.1</c:v>
                </c:pt>
                <c:pt idx="3">
                  <c:v>30.5</c:v>
                </c:pt>
                <c:pt idx="4">
                  <c:v>30.8</c:v>
                </c:pt>
              </c:numCache>
            </c:numRef>
          </c:val>
        </c:ser>
        <c:ser>
          <c:idx val="2"/>
          <c:order val="2"/>
          <c:tx>
            <c:strRef>
              <c:f>'[2021年统计公报作图.xlsx]3次产业构成'!$F$5</c:f>
              <c:strCache>
                <c:ptCount val="1"/>
                <c:pt idx="0">
                  <c:v>三产业</c:v>
                </c:pt>
              </c:strCache>
            </c:strRef>
          </c:tx>
          <c:spPr>
            <a:solidFill>
              <a:srgbClr val="FE7B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'[2021年统计公报作图.xlsx]3次产业构成'!$C$6:$C$10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'[2021年统计公报作图.xlsx]3次产业构成'!$F$6:$F$10</c:f>
              <c:numCache>
                <c:formatCode>General</c:formatCode>
                <c:ptCount val="5"/>
                <c:pt idx="0">
                  <c:v>68.5</c:v>
                </c:pt>
                <c:pt idx="1">
                  <c:v>69.2</c:v>
                </c:pt>
                <c:pt idx="2">
                  <c:v>69.8</c:v>
                </c:pt>
                <c:pt idx="3">
                  <c:v>69.3</c:v>
                </c:pt>
                <c:pt idx="4">
                  <c:v>69.1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7919488"/>
        <c:axId val="47921024"/>
      </c:barChart>
      <c:catAx>
        <c:axId val="47919488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7921024"/>
        <c:crosses val="autoZero"/>
        <c:auto val="1"/>
        <c:lblAlgn val="ctr"/>
        <c:lblOffset val="100"/>
        <c:noMultiLvlLbl val="0"/>
      </c:catAx>
      <c:valAx>
        <c:axId val="479210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7919488"/>
        <c:crosses val="autoZero"/>
        <c:crossBetween val="between"/>
        <c:majorUnit val="20"/>
      </c:valAx>
      <c:spPr>
        <a:solidFill>
          <a:srgbClr val="EEF6F8"/>
        </a:solidFill>
        <a:ln w="15875" cmpd="sng">
          <a:solidFill>
            <a:schemeClr val="tx1">
              <a:lumMod val="75000"/>
              <a:lumOff val="25000"/>
            </a:schemeClr>
          </a:solidFill>
          <a:prstDash val="solid"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336093812110772"/>
          <c:y val="0.91618563842068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3  2017-2021</a:t>
            </a: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年城镇新增就业人数</a:t>
            </a:r>
            <a:endParaRPr lang="zh-CN" altLang="en-US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0083333333333"/>
          <c:y val="0.182638888888889"/>
          <c:w val="0.869361111111111"/>
          <c:h val="0.70541666666666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7D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[2021年统计公报作图.xlsx]城镇新增就业!$C$7:$C$11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[2021年统计公报作图.xlsx]城镇新增就业!$D$7:$D$11</c:f>
              <c:numCache>
                <c:formatCode>General</c:formatCode>
                <c:ptCount val="5"/>
                <c:pt idx="0">
                  <c:v>11108</c:v>
                </c:pt>
                <c:pt idx="1">
                  <c:v>11182</c:v>
                </c:pt>
                <c:pt idx="2">
                  <c:v>12192</c:v>
                </c:pt>
                <c:pt idx="3">
                  <c:v>11310</c:v>
                </c:pt>
                <c:pt idx="4">
                  <c:v>12360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956736"/>
        <c:axId val="47958272"/>
      </c:barChart>
      <c:catAx>
        <c:axId val="47956736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7958272"/>
        <c:crosses val="autoZero"/>
        <c:auto val="1"/>
        <c:lblAlgn val="ctr"/>
        <c:lblOffset val="100"/>
        <c:noMultiLvlLbl val="0"/>
      </c:catAx>
      <c:valAx>
        <c:axId val="4795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7956736"/>
        <c:crosses val="autoZero"/>
        <c:crossBetween val="between"/>
        <c:majorUnit val="1000"/>
      </c:valAx>
      <c:spPr>
        <a:solidFill>
          <a:srgbClr val="EEF6F8"/>
        </a:solidFill>
        <a:ln w="15875" cmpd="sng">
          <a:solidFill>
            <a:schemeClr val="tx1">
              <a:lumMod val="75000"/>
              <a:lumOff val="25000"/>
            </a:schemeClr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4  2017-2021</a:t>
            </a: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年全部工业增加值增长速度</a:t>
            </a:r>
            <a:endParaRPr lang="zh-CN" altLang="en-US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493018111433707"/>
          <c:y val="0.17946302402261"/>
          <c:w val="0.88101755841283"/>
          <c:h val="0.706641544983514"/>
        </c:manualLayout>
      </c:layout>
      <c:lineChart>
        <c:grouping val="standard"/>
        <c:varyColors val="0"/>
        <c:ser>
          <c:idx val="0"/>
          <c:order val="0"/>
          <c:tx>
            <c:strRef>
              <c:f>[2021年统计公报作图.xlsx]工业增加值!$D$5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 cap="flat" cmpd="sng" algn="ctr">
                <a:solidFill>
                  <a:srgbClr val="92D050"/>
                </a:solidFill>
                <a:prstDash val="solid"/>
                <a:round/>
              </a:ln>
              <a:effectLst/>
            </c:spPr>
          </c:marker>
          <c:dLbls>
            <c:dLbl>
              <c:idx val="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charset="0"/>
                        <a:ea typeface="Times New Roman" panose="02020603050405020304" charset="0"/>
                        <a:cs typeface="Times New Roman" panose="02020603050405020304" charset="0"/>
                        <a:sym typeface="Times New Roman" panose="02020603050405020304" charset="0"/>
                      </a:defRPr>
                    </a:pPr>
                    <a:r>
                      <a:t>0</a:t>
                    </a:r>
                    <a:r>
                      <a:rPr lang="en-US" altLang="zh-CN"/>
                      <a:t>.0</a:t>
                    </a:r>
                    <a:endParaRPr lang="en-US" altLang="zh-CN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101237283129554"/>
                  <c:y val="0.112312300333937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[2021年统计公报作图.xlsx]工业增加值!$C$6:$C$10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[2021年统计公报作图.xlsx]工业增加值!$D$6:$D$10</c:f>
              <c:numCache>
                <c:formatCode>General</c:formatCode>
                <c:ptCount val="5"/>
                <c:pt idx="0">
                  <c:v>1.9</c:v>
                </c:pt>
                <c:pt idx="1">
                  <c:v>2.1</c:v>
                </c:pt>
                <c:pt idx="2">
                  <c:v>3.7</c:v>
                </c:pt>
                <c:pt idx="3">
                  <c:v>0</c:v>
                </c:pt>
                <c:pt idx="4">
                  <c:v>5.5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5722112"/>
        <c:axId val="75789440"/>
      </c:lineChart>
      <c:catAx>
        <c:axId val="75722112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5789440"/>
        <c:crosses val="autoZero"/>
        <c:auto val="1"/>
        <c:lblAlgn val="ctr"/>
        <c:lblOffset val="100"/>
        <c:noMultiLvlLbl val="0"/>
      </c:catAx>
      <c:valAx>
        <c:axId val="75789440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prstDash val="solid"/>
              <a:round/>
            </a:ln>
            <a:effectLst/>
          </c:spPr>
        </c:majorGridlines>
        <c:numFmt formatCode="#,##0.0_);[Red]\(#,##0.0\)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5722112"/>
        <c:crosses val="autoZero"/>
        <c:crossBetween val="between"/>
      </c:valAx>
      <c:spPr>
        <a:solidFill>
          <a:srgbClr val="EEF6F8"/>
        </a:solidFill>
        <a:ln w="12700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0875554598527558"/>
          <c:y val="0.20121876635989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5  2017-2021</a:t>
            </a: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年规模以上工业增加值</a:t>
            </a:r>
            <a:endParaRPr lang="zh-CN" altLang="en-US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增长速度</a:t>
            </a:r>
            <a:endParaRPr lang="zh-CN" altLang="en-US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52668539325843"/>
          <c:y val="0.0075131480090157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89400278940028"/>
          <c:y val="0.200435739530354"/>
          <c:w val="0.880951718380409"/>
          <c:h val="0.681931034482759"/>
        </c:manualLayout>
      </c:layout>
      <c:lineChart>
        <c:grouping val="standard"/>
        <c:varyColors val="0"/>
        <c:ser>
          <c:idx val="0"/>
          <c:order val="0"/>
          <c:tx>
            <c:strRef>
              <c:f>'[2021年统计公报作图.xlsx]规模工业增加值 '!$D$5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 cap="flat" cmpd="sng" algn="ctr">
                <a:solidFill>
                  <a:srgbClr val="92D050"/>
                </a:solidFill>
                <a:prstDash val="solid"/>
                <a:round/>
              </a:ln>
              <a:effectLst/>
            </c:spPr>
          </c:marker>
          <c:dLbls>
            <c:dLbl>
              <c:idx val="4"/>
              <c:layout>
                <c:manualLayout>
                  <c:x val="0.0133896511395478"/>
                  <c:y val="0.11546858955846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'[2021年统计公报作图.xlsx]规模工业增加值 '!$C$6:$C$10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'[2021年统计公报作图.xlsx]规模工业增加值 '!$D$6:$D$10</c:f>
              <c:numCache>
                <c:formatCode>General</c:formatCode>
                <c:ptCount val="5"/>
                <c:pt idx="0">
                  <c:v>2.1</c:v>
                </c:pt>
                <c:pt idx="1">
                  <c:v>3.1</c:v>
                </c:pt>
                <c:pt idx="2">
                  <c:v>3.4</c:v>
                </c:pt>
                <c:pt idx="3">
                  <c:v>0.9</c:v>
                </c:pt>
                <c:pt idx="4">
                  <c:v>5.3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5547392"/>
        <c:axId val="75548928"/>
      </c:lineChart>
      <c:catAx>
        <c:axId val="75547392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5548928"/>
        <c:crosses val="autoZero"/>
        <c:auto val="1"/>
        <c:lblAlgn val="ctr"/>
        <c:lblOffset val="100"/>
        <c:noMultiLvlLbl val="0"/>
      </c:catAx>
      <c:valAx>
        <c:axId val="75548928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prstDash val="solid"/>
              <a:round/>
            </a:ln>
            <a:effectLst/>
          </c:spPr>
        </c:majorGridlines>
        <c:numFmt formatCode="#,##0.0_);[Red]\(#,##0.0\)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5547392"/>
        <c:crosses val="autoZero"/>
        <c:crossBetween val="between"/>
      </c:valAx>
      <c:spPr>
        <a:solidFill>
          <a:srgbClr val="EEF6F8"/>
        </a:solidFill>
        <a:ln w="12700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0875554598527558"/>
          <c:y val="0.20121876635989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6   2017-2021</a:t>
            </a: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年建筑业增加值及其增长速度</a:t>
            </a:r>
            <a:endParaRPr lang="zh-CN" altLang="en-US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07459082371881"/>
          <c:y val="0.024513172966781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22565065736517"/>
          <c:y val="0.174570446735395"/>
          <c:w val="0.849449959753153"/>
          <c:h val="0.700893470790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[2021年统计公报作图.xlsx]建筑业增加值!$E$6</c:f>
              <c:strCache>
                <c:ptCount val="1"/>
                <c:pt idx="0">
                  <c:v>建筑业增加值</c:v>
                </c:pt>
              </c:strCache>
            </c:strRef>
          </c:tx>
          <c:spPr>
            <a:solidFill>
              <a:srgbClr val="FE7B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[2021年统计公报作图.xlsx]建筑业增加值!$D$7:$D$11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[2021年统计公报作图.xlsx]建筑业增加值!$E$7:$E$11</c:f>
              <c:numCache>
                <c:formatCode>0.00_ </c:formatCode>
                <c:ptCount val="5"/>
                <c:pt idx="0">
                  <c:v>134.83</c:v>
                </c:pt>
                <c:pt idx="1">
                  <c:v>148.51</c:v>
                </c:pt>
                <c:pt idx="2">
                  <c:v>209.47</c:v>
                </c:pt>
                <c:pt idx="3">
                  <c:v>227.7</c:v>
                </c:pt>
                <c:pt idx="4">
                  <c:v>249.35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6952704"/>
        <c:axId val="76954240"/>
      </c:barChart>
      <c:lineChart>
        <c:grouping val="standard"/>
        <c:varyColors val="0"/>
        <c:ser>
          <c:idx val="1"/>
          <c:order val="1"/>
          <c:tx>
            <c:strRef>
              <c:f>[2021年统计公报作图.xlsx]建筑业增加值!$F$6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34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[2021年统计公报作图.xlsx]建筑业增加值!$D$7:$D$11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[2021年统计公报作图.xlsx]建筑业增加值!$F$7:$F$11</c:f>
              <c:numCache>
                <c:formatCode>0.0_ </c:formatCode>
                <c:ptCount val="5"/>
                <c:pt idx="0">
                  <c:v>6</c:v>
                </c:pt>
                <c:pt idx="1">
                  <c:v>10.2</c:v>
                </c:pt>
                <c:pt idx="2">
                  <c:v>9.9</c:v>
                </c:pt>
                <c:pt idx="3">
                  <c:v>5.4</c:v>
                </c:pt>
                <c:pt idx="4">
                  <c:v>3.6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6972416"/>
        <c:axId val="76973952"/>
      </c:lineChart>
      <c:catAx>
        <c:axId val="76952704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6954240"/>
        <c:crosses val="autoZero"/>
        <c:auto val="1"/>
        <c:lblAlgn val="ctr"/>
        <c:lblOffset val="100"/>
        <c:noMultiLvlLbl val="0"/>
      </c:catAx>
      <c:valAx>
        <c:axId val="76954240"/>
        <c:scaling>
          <c:orientation val="minMax"/>
          <c:max val="30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_);[Red]\(0\)" sourceLinked="0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6952704"/>
        <c:crosses val="autoZero"/>
        <c:crossBetween val="between"/>
        <c:majorUnit val="50"/>
        <c:minorUnit val="10"/>
      </c:valAx>
      <c:catAx>
        <c:axId val="76972416"/>
        <c:scaling>
          <c:orientation val="minMax"/>
        </c:scaling>
        <c:delete val="1"/>
        <c:axPos val="b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6973952"/>
        <c:crosses val="autoZero"/>
        <c:auto val="1"/>
        <c:lblAlgn val="ctr"/>
        <c:lblOffset val="100"/>
        <c:noMultiLvlLbl val="0"/>
      </c:catAx>
      <c:valAx>
        <c:axId val="76973952"/>
        <c:scaling>
          <c:orientation val="minMax"/>
          <c:max val="20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6972416"/>
        <c:crosses val="max"/>
        <c:crossBetween val="between"/>
        <c:majorUnit val="5"/>
      </c:valAx>
      <c:spPr>
        <a:solidFill>
          <a:srgbClr val="EEF6F8"/>
        </a:solidFill>
        <a:ln w="15875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0971527777777778"/>
          <c:y val="0.193333333333333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7</a:t>
            </a:r>
            <a:r>
              <a:rPr lang="zh-CN" altLang="en-US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  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2017-2021</a:t>
            </a: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年固定资产投资增长速度</a:t>
            </a:r>
            <a:endParaRPr lang="zh-CN" altLang="en-US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30456140350877"/>
          <c:y val="0.018078512396694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12438990377911"/>
          <c:y val="0.164536369974436"/>
          <c:w val="0.831878399107516"/>
          <c:h val="0.739344643272136"/>
        </c:manualLayout>
      </c:layout>
      <c:lineChart>
        <c:grouping val="standard"/>
        <c:varyColors val="0"/>
        <c:ser>
          <c:idx val="0"/>
          <c:order val="0"/>
          <c:tx>
            <c:strRef>
              <c:f>[2021年统计公报作图.xlsx]固定资产投资!$D$5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34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2D34C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[2021年统计公报作图.xlsx]固定资产投资!$C$6:$C$10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[2021年统计公报作图.xlsx]固定资产投资!$D$6:$D$10</c:f>
              <c:numCache>
                <c:formatCode>0.0_ </c:formatCode>
                <c:ptCount val="5"/>
                <c:pt idx="0">
                  <c:v>13.7</c:v>
                </c:pt>
                <c:pt idx="1">
                  <c:v>11.1</c:v>
                </c:pt>
                <c:pt idx="2">
                  <c:v>10</c:v>
                </c:pt>
                <c:pt idx="3">
                  <c:v>-4.1</c:v>
                </c:pt>
                <c:pt idx="4">
                  <c:v>9.3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7018240"/>
        <c:axId val="77019776"/>
      </c:lineChart>
      <c:catAx>
        <c:axId val="77018240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7019776"/>
        <c:crossesAt val="-5"/>
        <c:auto val="1"/>
        <c:lblAlgn val="ctr"/>
        <c:lblOffset val="100"/>
        <c:noMultiLvlLbl val="0"/>
      </c:catAx>
      <c:valAx>
        <c:axId val="77019776"/>
        <c:scaling>
          <c:orientation val="minMax"/>
          <c:max val="20"/>
          <c:min val="-5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.0_ " sourceLinked="1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7018240"/>
        <c:crosses val="autoZero"/>
        <c:crossBetween val="between"/>
        <c:majorUnit val="5"/>
      </c:valAx>
      <c:spPr>
        <a:solidFill>
          <a:srgbClr val="EEF6F8"/>
        </a:solidFill>
        <a:ln w="15875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0966392413889276"/>
          <c:y val="0.198233790378805"/>
          <c:w val="0.205968484172361"/>
          <c:h val="0.039274924471299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 sz="135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 sz="135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8  2017-2021</a:t>
            </a:r>
            <a:r>
              <a:rPr lang="zh-CN" altLang="en-US" sz="1350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年社会消费品零售总额及其增长速度</a:t>
            </a:r>
            <a:endParaRPr lang="zh-CN" altLang="en-US" sz="1350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09029066171923"/>
          <c:y val="0.021186440677966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48055555555556"/>
          <c:y val="0.165972222222222"/>
          <c:w val="0.844138888888889"/>
          <c:h val="0.730416666666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[2021年统计公报作图.xlsx]社零!$E$6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solidFill>
              <a:srgbClr val="FE7B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[2021年统计公报作图.xlsx]社零!$D$7:$D$11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[2021年统计公报作图.xlsx]社零!$E$7:$E$11</c:f>
              <c:numCache>
                <c:formatCode>0.00_ </c:formatCode>
                <c:ptCount val="5"/>
                <c:pt idx="0">
                  <c:v>363.37</c:v>
                </c:pt>
                <c:pt idx="1">
                  <c:v>386.16</c:v>
                </c:pt>
                <c:pt idx="2">
                  <c:v>422.21</c:v>
                </c:pt>
                <c:pt idx="3">
                  <c:v>407.64</c:v>
                </c:pt>
                <c:pt idx="4">
                  <c:v>463.03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7068160"/>
        <c:axId val="77069696"/>
      </c:barChart>
      <c:lineChart>
        <c:grouping val="standard"/>
        <c:varyColors val="0"/>
        <c:ser>
          <c:idx val="1"/>
          <c:order val="1"/>
          <c:tx>
            <c:strRef>
              <c:f>[2021年统计公报作图.xlsx]社零!$F$6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34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0"/>
                  <c:y val="-0.112183698201105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[2021年统计公报作图.xlsx]社零!$D$7:$D$11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[2021年统计公报作图.xlsx]社零!$F$7:$F$11</c:f>
              <c:numCache>
                <c:formatCode>0.0_ </c:formatCode>
                <c:ptCount val="5"/>
                <c:pt idx="0">
                  <c:v>11.2</c:v>
                </c:pt>
                <c:pt idx="1">
                  <c:v>9.7</c:v>
                </c:pt>
                <c:pt idx="2">
                  <c:v>9.7</c:v>
                </c:pt>
                <c:pt idx="3">
                  <c:v>-3.5</c:v>
                </c:pt>
                <c:pt idx="4">
                  <c:v>13.6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5846400"/>
        <c:axId val="75847936"/>
      </c:lineChart>
      <c:catAx>
        <c:axId val="77068160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7069696"/>
        <c:crosses val="autoZero"/>
        <c:auto val="1"/>
        <c:lblAlgn val="ctr"/>
        <c:lblOffset val="100"/>
        <c:noMultiLvlLbl val="0"/>
      </c:catAx>
      <c:valAx>
        <c:axId val="77069696"/>
        <c:scaling>
          <c:orientation val="minMax"/>
          <c:max val="6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_);[Red]\(0\)" sourceLinked="0"/>
        <c:majorTickMark val="in"/>
        <c:minorTickMark val="none"/>
        <c:tickLblPos val="nextTo"/>
        <c:spPr>
          <a:noFill/>
          <a:ln>
            <a:solidFill>
              <a:schemeClr val="tx1">
                <a:lumMod val="85000"/>
                <a:lumOff val="15000"/>
              </a:schemeClr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7068160"/>
        <c:crosses val="autoZero"/>
        <c:crossBetween val="between"/>
        <c:majorUnit val="100"/>
        <c:minorUnit val="10"/>
      </c:valAx>
      <c:catAx>
        <c:axId val="75846400"/>
        <c:scaling>
          <c:orientation val="minMax"/>
        </c:scaling>
        <c:delete val="1"/>
        <c:axPos val="b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5847936"/>
        <c:crosses val="autoZero"/>
        <c:auto val="1"/>
        <c:lblAlgn val="ctr"/>
        <c:lblOffset val="100"/>
        <c:noMultiLvlLbl val="0"/>
      </c:catAx>
      <c:valAx>
        <c:axId val="75847936"/>
        <c:scaling>
          <c:orientation val="minMax"/>
          <c:max val="25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5846400"/>
        <c:crosses val="max"/>
        <c:crossBetween val="between"/>
        <c:majorUnit val="5"/>
      </c:valAx>
      <c:spPr>
        <a:solidFill>
          <a:srgbClr val="EEF6F8"/>
        </a:solidFill>
        <a:ln w="15875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096319444444444"/>
          <c:y val="0.18045977011494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图</a:t>
            </a:r>
            <a:r>
              <a:rPr lang="en-US" altLang="zh-CN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9  2017-2021</a:t>
            </a: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年城镇居民可支配收入及其</a:t>
            </a:r>
            <a:endParaRPr lang="zh-CN" altLang="en-US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Times New Roman" panose="02020603050405020304" charset="0"/>
                <a:sym typeface="Times New Roman" panose="02020603050405020304" charset="0"/>
              </a:rPr>
              <a:t>增长速度</a:t>
            </a:r>
            <a:endParaRPr lang="zh-CN" altLang="en-US">
              <a:latin typeface="黑体" panose="02010609060101010101" charset="-122"/>
              <a:ea typeface="黑体" panose="02010609060101010101" charset="-122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141666666666667"/>
          <c:y val="0.007299270072992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0083333333333"/>
          <c:y val="0.200694444444444"/>
          <c:w val="0.83775"/>
          <c:h val="0.7035648148148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[2021年统计公报作图.xlsx]城镇居民可支配收入!$E$6</c:f>
              <c:strCache>
                <c:ptCount val="1"/>
                <c:pt idx="0">
                  <c:v>城镇居民可支配收入</c:v>
                </c:pt>
              </c:strCache>
            </c:strRef>
          </c:tx>
          <c:spPr>
            <a:solidFill>
              <a:srgbClr val="FE7B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[2021年统计公报作图.xlsx]城镇居民可支配收入!$D$7:$D$11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[2021年统计公报作图.xlsx]城镇居民可支配收入!$E$7:$E$11</c:f>
              <c:numCache>
                <c:formatCode>General</c:formatCode>
                <c:ptCount val="5"/>
                <c:pt idx="0">
                  <c:v>50333</c:v>
                </c:pt>
                <c:pt idx="1">
                  <c:v>54476</c:v>
                </c:pt>
                <c:pt idx="2">
                  <c:v>59159</c:v>
                </c:pt>
                <c:pt idx="3">
                  <c:v>62293</c:v>
                </c:pt>
                <c:pt idx="4">
                  <c:v>66716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7195136"/>
        <c:axId val="77196672"/>
      </c:barChart>
      <c:lineChart>
        <c:grouping val="standard"/>
        <c:varyColors val="0"/>
        <c:ser>
          <c:idx val="1"/>
          <c:order val="1"/>
          <c:tx>
            <c:strRef>
              <c:f>[2021年统计公报作图.xlsx]城镇居民可支配收入!$F$6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 cmpd="sng" algn="ctr">
              <a:solidFill>
                <a:srgbClr val="92D34C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 cap="flat" cmpd="sng" algn="ctr">
                <a:solidFill>
                  <a:srgbClr val="92D050"/>
                </a:solidFill>
                <a:prstDash val="solid"/>
                <a:round/>
              </a:ln>
              <a:effectLst/>
            </c:spPr>
          </c:marker>
          <c:dLbls>
            <c:dLbl>
              <c:idx val="3"/>
              <c:layout>
                <c:manualLayout>
                  <c:x val="-0.0025"/>
                  <c:y val="-0.0324137931034483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[2021年统计公报作图.xlsx]城镇居民可支配收入!$D$7:$D$11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[2021年统计公报作图.xlsx]城镇居民可支配收入!$F$7:$F$11</c:f>
              <c:numCache>
                <c:formatCode>General</c:formatCode>
                <c:ptCount val="5"/>
                <c:pt idx="0">
                  <c:v>8.1</c:v>
                </c:pt>
                <c:pt idx="1">
                  <c:v>8.2</c:v>
                </c:pt>
                <c:pt idx="2">
                  <c:v>8.6</c:v>
                </c:pt>
                <c:pt idx="3">
                  <c:v>5.3</c:v>
                </c:pt>
                <c:pt idx="4">
                  <c:v>7.1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7075584"/>
        <c:axId val="77077120"/>
      </c:lineChart>
      <c:catAx>
        <c:axId val="77195136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15875" cap="flat" cmpd="sng" algn="ctr">
            <a:solidFill>
              <a:schemeClr val="tx1">
                <a:lumMod val="85000"/>
                <a:lumOff val="1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7196672"/>
        <c:crosses val="autoZero"/>
        <c:auto val="1"/>
        <c:lblAlgn val="ctr"/>
        <c:lblOffset val="100"/>
        <c:noMultiLvlLbl val="0"/>
      </c:catAx>
      <c:valAx>
        <c:axId val="77196672"/>
        <c:scaling>
          <c:orientation val="minMax"/>
          <c:max val="8000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prstDash val="solid"/>
              <a:round/>
            </a:ln>
            <a:effectLst/>
          </c:spPr>
        </c:majorGridlines>
        <c:numFmt formatCode="0_);[Red]\(0\)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7195136"/>
        <c:crosses val="autoZero"/>
        <c:crossBetween val="between"/>
        <c:majorUnit val="10000"/>
        <c:minorUnit val="10"/>
      </c:valAx>
      <c:catAx>
        <c:axId val="77075584"/>
        <c:scaling>
          <c:orientation val="minMax"/>
        </c:scaling>
        <c:delete val="1"/>
        <c:axPos val="b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7077120"/>
        <c:crosses val="autoZero"/>
        <c:auto val="1"/>
        <c:lblAlgn val="ctr"/>
        <c:lblOffset val="100"/>
        <c:noMultiLvlLbl val="0"/>
      </c:catAx>
      <c:valAx>
        <c:axId val="77077120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7075584"/>
        <c:crosses val="max"/>
        <c:crossBetween val="between"/>
        <c:majorUnit val="5"/>
      </c:valAx>
      <c:spPr>
        <a:solidFill>
          <a:srgbClr val="EEF6F8"/>
        </a:solidFill>
        <a:ln w="15875" cmpd="sng">
          <a:solidFill>
            <a:schemeClr val="tx1">
              <a:lumMod val="85000"/>
              <a:lumOff val="15000"/>
            </a:schemeClr>
          </a:solidFill>
          <a:prstDash val="solid"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>
        <c:manualLayout>
          <c:xMode val="edge"/>
          <c:yMode val="edge"/>
          <c:x val="0.105625"/>
          <c:y val="0.222126436781609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</cdr:x>
      <cdr:y>0.04598</cdr:y>
    </cdr:from>
    <cdr:to>
      <cdr:x>0.10642</cdr:x>
      <cdr:y>0.13743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23438" y="121357"/>
          <a:ext cx="475799" cy="241323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/>
        <a:p>
          <a:r>
            <a:rPr lang="zh-CN" altLang="en-US" sz="900">
              <a:solidFill>
                <a:schemeClr val="tx1">
                  <a:lumMod val="65000"/>
                  <a:lumOff val="35000"/>
                </a:schemeClr>
              </a:solidFill>
            </a:rPr>
            <a:t>亿元</a:t>
          </a:r>
          <a:endParaRPr lang="zh-CN" altLang="en-US" sz="9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0.9424</cdr:x>
      <cdr:y>0.05043</cdr:y>
    </cdr:from>
    <cdr:to>
      <cdr:x>0.99514</cdr:x>
      <cdr:y>0.13171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4421150" y="133077"/>
          <a:ext cx="247416" cy="214509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/>
        <a:p>
          <a:r>
            <a:rPr lang="en-US" altLang="zh-CN" sz="1000">
              <a:solidFill>
                <a:schemeClr val="tx1">
                  <a:lumMod val="65000"/>
                  <a:lumOff val="3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0.00954</cdr:x>
      <cdr:y>0.0852</cdr:y>
    </cdr:from>
    <cdr:to>
      <cdr:x>0.0591</cdr:x>
      <cdr:y>0.16116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5720" y="234315"/>
          <a:ext cx="237490" cy="20891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/>
        <a:p>
          <a:r>
            <a:rPr lang="en-US" altLang="zh-CN" sz="1200">
              <a:solidFill>
                <a:schemeClr val="tx1">
                  <a:lumMod val="65000"/>
                  <a:lumOff val="35000"/>
                </a:schemeClr>
              </a:solidFill>
            </a:rPr>
            <a:t>%</a:t>
          </a:r>
          <a:endParaRPr lang="en-US" altLang="zh-CN" sz="12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0.02738</cdr:x>
      <cdr:y>0.07912</cdr:y>
    </cdr:from>
    <cdr:to>
      <cdr:x>0.10716</cdr:x>
      <cdr:y>0.15682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125748" y="213313"/>
          <a:ext cx="366446" cy="209501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/>
        <a:p>
          <a:r>
            <a:rPr lang="zh-CN" altLang="en-US" sz="1000"/>
            <a:t>人</a:t>
          </a:r>
          <a:endParaRPr lang="zh-CN" altLang="en-US" sz="10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0.00347</cdr:x>
      <cdr:y>0.06908</cdr:y>
    </cdr:from>
    <cdr:to>
      <cdr:x>0.05824</cdr:x>
      <cdr:y>0.14593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15923" y="186245"/>
          <a:ext cx="251590" cy="207208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/>
        <a:p>
          <a:r>
            <a:rPr lang="en-US" altLang="zh-CN" sz="1000">
              <a:solidFill>
                <a:schemeClr val="tx1">
                  <a:lumMod val="85000"/>
                  <a:lumOff val="1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85000"/>
                <a:lumOff val="15000"/>
              </a:schemeClr>
            </a:solidFill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0.00597</cdr:x>
      <cdr:y>0.09505</cdr:y>
    </cdr:from>
    <cdr:to>
      <cdr:x>0.06075</cdr:x>
      <cdr:y>0.17191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27252" y="262562"/>
          <a:ext cx="249990" cy="212283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en-US" altLang="zh-CN" sz="1000">
              <a:solidFill>
                <a:schemeClr val="tx1">
                  <a:lumMod val="85000"/>
                  <a:lumOff val="1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85000"/>
                <a:lumOff val="15000"/>
              </a:schemeClr>
            </a:solidFill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0.00167</cdr:x>
      <cdr:y>0.06759</cdr:y>
    </cdr:from>
    <cdr:to>
      <cdr:x>0.09389</cdr:x>
      <cdr:y>0.14345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7620" y="186690"/>
          <a:ext cx="421640" cy="20955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/>
        <a:p>
          <a:r>
            <a:rPr lang="zh-CN" altLang="en-US" sz="900">
              <a:solidFill>
                <a:schemeClr val="tx1">
                  <a:lumMod val="65000"/>
                  <a:lumOff val="35000"/>
                </a:schemeClr>
              </a:solidFill>
            </a:rPr>
            <a:t>亿元</a:t>
          </a:r>
          <a:endParaRPr lang="zh-CN" altLang="en-US" sz="9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0.92576</cdr:x>
      <cdr:y>0.05931</cdr:y>
    </cdr:from>
    <cdr:to>
      <cdr:x>0.99742</cdr:x>
      <cdr:y>0.14759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4381872" y="164395"/>
          <a:ext cx="339219" cy="244681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/>
        <a:p>
          <a:r>
            <a:rPr lang="en-US" altLang="zh-CN" sz="1000">
              <a:solidFill>
                <a:schemeClr val="tx1">
                  <a:lumMod val="65000"/>
                  <a:lumOff val="3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0.01799</cdr:x>
      <cdr:y>0.06577</cdr:y>
    </cdr:from>
    <cdr:to>
      <cdr:x>0.08144</cdr:x>
      <cdr:y>0.14246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81915" y="179705"/>
          <a:ext cx="288925" cy="20955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/>
        <a:p>
          <a:r>
            <a:rPr lang="en-US" altLang="zh-CN" sz="1000">
              <a:solidFill>
                <a:schemeClr val="tx1">
                  <a:lumMod val="75000"/>
                  <a:lumOff val="2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75000"/>
                <a:lumOff val="25000"/>
              </a:schemeClr>
            </a:solidFill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0.00878</cdr:x>
      <cdr:y>0.06759</cdr:y>
    </cdr:from>
    <cdr:to>
      <cdr:x>0.10101</cdr:x>
      <cdr:y>0.14345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7021" y="191797"/>
          <a:ext cx="493612" cy="215283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solidFill>
                <a:schemeClr val="tx1">
                  <a:lumMod val="65000"/>
                  <a:lumOff val="35000"/>
                </a:schemeClr>
              </a:solidFill>
            </a:rPr>
            <a:t>亿元</a:t>
          </a:r>
          <a:endParaRPr lang="zh-CN" altLang="en-US" sz="9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0.92111</cdr:x>
      <cdr:y>0.06228</cdr:y>
    </cdr:from>
    <cdr:to>
      <cdr:x>0.99278</cdr:x>
      <cdr:y>0.15055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4211320" y="173290"/>
          <a:ext cx="327660" cy="245634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en-US" altLang="zh-CN" sz="1000">
              <a:solidFill>
                <a:schemeClr val="tx1">
                  <a:lumMod val="65000"/>
                  <a:lumOff val="3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0.02306</cdr:x>
      <cdr:y>0.08982</cdr:y>
    </cdr:from>
    <cdr:to>
      <cdr:x>0.07903</cdr:x>
      <cdr:y>0.16568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105410" y="246402"/>
          <a:ext cx="255905" cy="20810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solidFill>
                <a:schemeClr val="tx1">
                  <a:lumMod val="65000"/>
                  <a:lumOff val="35000"/>
                </a:schemeClr>
              </a:solidFill>
            </a:rPr>
            <a:t>元</a:t>
          </a:r>
          <a:endParaRPr lang="zh-CN" altLang="en-US" sz="9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0.93111</cdr:x>
      <cdr:y>0.08017</cdr:y>
    </cdr:from>
    <cdr:to>
      <cdr:x>0.99375</cdr:x>
      <cdr:y>0.16848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4257040" y="219914"/>
          <a:ext cx="286385" cy="242268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en-US" altLang="zh-CN" sz="1000">
              <a:solidFill>
                <a:schemeClr val="tx1">
                  <a:lumMod val="65000"/>
                  <a:lumOff val="35000"/>
                </a:schemeClr>
              </a:solidFill>
            </a:rPr>
            <a:t>%</a:t>
          </a:r>
          <a:endParaRPr lang="en-US" altLang="zh-CN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22D40-2DCA-424E-91A5-924AAA9A79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2255</Words>
  <Characters>596</Characters>
  <Lines>4</Lines>
  <Paragraphs>5</Paragraphs>
  <TotalTime>331</TotalTime>
  <ScaleCrop>false</ScaleCrop>
  <LinksUpToDate>false</LinksUpToDate>
  <CharactersWithSpaces>2846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2018-03-06T03:14:00Z</dcterms:created>
  <dc:creator>Administrator</dc:creator>
  <cp:lastModifiedBy>空口言</cp:lastModifiedBy>
  <cp:lastPrinted>2022-04-07T02:58:00Z</cp:lastPrinted>
  <dcterms:modified xsi:type="dcterms:W3CDTF">2022-04-08T03:12:50Z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0DCFCFA147E248749093830E10D81A17</vt:lpwstr>
  </property>
</Properties>
</file>